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CAB25C" w14:textId="5224BAC1" w:rsidR="007107DD" w:rsidRPr="00BB5725" w:rsidRDefault="007107DD" w:rsidP="00BB5725">
      <w:pPr>
        <w:pStyle w:val="Normalny1"/>
        <w:spacing w:after="240" w:line="240" w:lineRule="auto"/>
        <w:jc w:val="right"/>
        <w:rPr>
          <w:rFonts w:asciiTheme="majorHAnsi" w:hAnsiTheme="majorHAnsi"/>
          <w:sz w:val="20"/>
          <w:szCs w:val="20"/>
        </w:rPr>
      </w:pPr>
      <w:r w:rsidRPr="00BB5725">
        <w:rPr>
          <w:rFonts w:asciiTheme="majorHAnsi" w:hAnsiTheme="majorHAnsi"/>
          <w:sz w:val="20"/>
          <w:szCs w:val="20"/>
        </w:rPr>
        <w:t>Warszawa</w:t>
      </w:r>
      <w:r w:rsidR="00D87ED1">
        <w:rPr>
          <w:rFonts w:asciiTheme="majorHAnsi" w:hAnsiTheme="majorHAnsi"/>
          <w:sz w:val="20"/>
          <w:szCs w:val="20"/>
        </w:rPr>
        <w:t xml:space="preserve">, 1 czerwca </w:t>
      </w:r>
      <w:r w:rsidRPr="00BB5725">
        <w:rPr>
          <w:rFonts w:asciiTheme="majorHAnsi" w:hAnsiTheme="majorHAnsi"/>
          <w:sz w:val="20"/>
          <w:szCs w:val="20"/>
        </w:rPr>
        <w:t>20</w:t>
      </w:r>
      <w:r w:rsidR="00D87ED1">
        <w:rPr>
          <w:rFonts w:asciiTheme="majorHAnsi" w:hAnsiTheme="majorHAnsi"/>
          <w:sz w:val="20"/>
          <w:szCs w:val="20"/>
        </w:rPr>
        <w:t>20</w:t>
      </w:r>
      <w:r w:rsidRPr="00BB5725">
        <w:rPr>
          <w:rFonts w:asciiTheme="majorHAnsi" w:hAnsiTheme="majorHAnsi"/>
          <w:sz w:val="20"/>
          <w:szCs w:val="20"/>
        </w:rPr>
        <w:t xml:space="preserve"> r.</w:t>
      </w:r>
    </w:p>
    <w:p w14:paraId="7FF2E913" w14:textId="74032EDE" w:rsidR="006A11C5" w:rsidRDefault="00D87ED1" w:rsidP="002F47B9">
      <w:pPr>
        <w:jc w:val="both"/>
        <w:rPr>
          <w:rFonts w:asciiTheme="majorHAnsi" w:eastAsia="Times New Roman" w:hAnsiTheme="majorHAnsi" w:cs="Tahoma"/>
          <w:b/>
          <w:color w:val="000000" w:themeColor="text1"/>
          <w:sz w:val="24"/>
          <w:szCs w:val="24"/>
          <w:shd w:val="clear" w:color="auto" w:fill="FFFFFF"/>
        </w:rPr>
      </w:pPr>
      <w:r w:rsidRPr="00D87ED1">
        <w:rPr>
          <w:rFonts w:asciiTheme="majorHAnsi" w:eastAsia="Times New Roman" w:hAnsiTheme="majorHAnsi" w:cs="Tahoma"/>
          <w:b/>
          <w:color w:val="000000" w:themeColor="text1"/>
          <w:sz w:val="24"/>
          <w:szCs w:val="24"/>
          <w:shd w:val="clear" w:color="auto" w:fill="FFFFFF"/>
        </w:rPr>
        <w:t>Komentarz rynkowy eksperta</w:t>
      </w:r>
      <w:r w:rsidR="00BB5725" w:rsidRPr="00D87ED1">
        <w:rPr>
          <w:rFonts w:asciiTheme="majorHAnsi" w:eastAsia="Times New Roman" w:hAnsiTheme="majorHAnsi" w:cs="Tahoma"/>
          <w:b/>
          <w:color w:val="000000" w:themeColor="text1"/>
          <w:sz w:val="24"/>
          <w:szCs w:val="24"/>
          <w:shd w:val="clear" w:color="auto" w:fill="FFFFFF"/>
        </w:rPr>
        <w:t xml:space="preserve">: </w:t>
      </w:r>
    </w:p>
    <w:p w14:paraId="45AF8B7A" w14:textId="4B7007B3" w:rsidR="002F47B9" w:rsidRPr="00D87ED1" w:rsidRDefault="006A11C5" w:rsidP="002F47B9">
      <w:pPr>
        <w:jc w:val="both"/>
        <w:rPr>
          <w:rFonts w:asciiTheme="majorHAnsi" w:eastAsia="Times New Roman" w:hAnsiTheme="majorHAnsi" w:cs="Tahoma"/>
          <w:b/>
          <w:color w:val="000000" w:themeColor="text1"/>
          <w:sz w:val="24"/>
          <w:szCs w:val="24"/>
          <w:shd w:val="clear" w:color="auto" w:fill="FFFFFF"/>
        </w:rPr>
      </w:pPr>
      <w:r>
        <w:rPr>
          <w:rFonts w:asciiTheme="majorHAnsi" w:eastAsia="Times New Roman" w:hAnsiTheme="majorHAnsi" w:cs="Tahoma"/>
          <w:b/>
          <w:color w:val="000000" w:themeColor="text1"/>
          <w:sz w:val="24"/>
          <w:szCs w:val="24"/>
          <w:shd w:val="clear" w:color="auto" w:fill="FFFFFF"/>
        </w:rPr>
        <w:t xml:space="preserve">Podsumowanie </w:t>
      </w:r>
      <w:r w:rsidR="00D87ED1" w:rsidRPr="00D87ED1">
        <w:rPr>
          <w:rFonts w:asciiTheme="majorHAnsi" w:hAnsiTheme="majorHAnsi"/>
          <w:b/>
          <w:sz w:val="24"/>
          <w:szCs w:val="24"/>
        </w:rPr>
        <w:t>maj</w:t>
      </w:r>
      <w:r>
        <w:rPr>
          <w:rFonts w:asciiTheme="majorHAnsi" w:hAnsiTheme="majorHAnsi"/>
          <w:b/>
          <w:sz w:val="24"/>
          <w:szCs w:val="24"/>
        </w:rPr>
        <w:t xml:space="preserve">a </w:t>
      </w:r>
      <w:r w:rsidR="00D87ED1" w:rsidRPr="00D87ED1">
        <w:rPr>
          <w:rFonts w:asciiTheme="majorHAnsi" w:hAnsiTheme="majorHAnsi"/>
          <w:b/>
          <w:sz w:val="24"/>
          <w:szCs w:val="24"/>
        </w:rPr>
        <w:t>na rynkach</w:t>
      </w:r>
      <w:r w:rsidR="00D87ED1">
        <w:rPr>
          <w:rFonts w:asciiTheme="majorHAnsi" w:hAnsiTheme="majorHAnsi"/>
          <w:b/>
          <w:sz w:val="24"/>
          <w:szCs w:val="24"/>
        </w:rPr>
        <w:t xml:space="preserve">. Pomimo </w:t>
      </w:r>
      <w:r w:rsidR="00D87ED1" w:rsidRPr="00D87ED1">
        <w:rPr>
          <w:rFonts w:asciiTheme="majorHAnsi" w:hAnsiTheme="majorHAnsi"/>
          <w:b/>
          <w:sz w:val="24"/>
          <w:szCs w:val="24"/>
        </w:rPr>
        <w:t>nerwowoś</w:t>
      </w:r>
      <w:r w:rsidR="00D87ED1">
        <w:rPr>
          <w:rFonts w:asciiTheme="majorHAnsi" w:hAnsiTheme="majorHAnsi"/>
          <w:b/>
          <w:sz w:val="24"/>
          <w:szCs w:val="24"/>
        </w:rPr>
        <w:t>ci inwesto</w:t>
      </w:r>
      <w:r>
        <w:rPr>
          <w:rFonts w:asciiTheme="majorHAnsi" w:hAnsiTheme="majorHAnsi"/>
          <w:b/>
          <w:sz w:val="24"/>
          <w:szCs w:val="24"/>
        </w:rPr>
        <w:t>rów</w:t>
      </w:r>
      <w:r w:rsidR="00D87ED1" w:rsidRPr="00D87ED1">
        <w:rPr>
          <w:rFonts w:asciiTheme="majorHAnsi" w:hAnsiTheme="majorHAnsi"/>
          <w:b/>
          <w:sz w:val="24"/>
          <w:szCs w:val="24"/>
        </w:rPr>
        <w:t xml:space="preserve">, indeksy </w:t>
      </w:r>
      <w:r w:rsidR="00BC1214">
        <w:rPr>
          <w:rFonts w:asciiTheme="majorHAnsi" w:hAnsiTheme="majorHAnsi"/>
          <w:b/>
          <w:sz w:val="24"/>
          <w:szCs w:val="24"/>
        </w:rPr>
        <w:t xml:space="preserve">wciąż </w:t>
      </w:r>
      <w:r w:rsidR="00D87ED1" w:rsidRPr="00D87ED1">
        <w:rPr>
          <w:rFonts w:asciiTheme="majorHAnsi" w:hAnsiTheme="majorHAnsi"/>
          <w:b/>
          <w:sz w:val="24"/>
          <w:szCs w:val="24"/>
        </w:rPr>
        <w:t>pięły się w górę</w:t>
      </w:r>
    </w:p>
    <w:p w14:paraId="7A86A1FB" w14:textId="77777777" w:rsidR="002F47B9" w:rsidRPr="00E05D39" w:rsidRDefault="002F47B9" w:rsidP="002F47B9">
      <w:pPr>
        <w:jc w:val="both"/>
        <w:rPr>
          <w:rFonts w:asciiTheme="majorHAnsi" w:hAnsiTheme="majorHAnsi"/>
          <w:b/>
          <w:sz w:val="20"/>
          <w:szCs w:val="20"/>
        </w:rPr>
      </w:pPr>
    </w:p>
    <w:p w14:paraId="08701CF1" w14:textId="18388A08" w:rsidR="00D87ED1" w:rsidRPr="00D87ED1" w:rsidRDefault="00D87ED1" w:rsidP="00D87ED1">
      <w:pPr>
        <w:widowControl/>
        <w:spacing w:after="0" w:line="240" w:lineRule="auto"/>
        <w:jc w:val="both"/>
        <w:rPr>
          <w:rFonts w:asciiTheme="majorHAnsi" w:eastAsiaTheme="minorEastAsia" w:hAnsiTheme="majorHAnsi" w:cstheme="minorBidi"/>
          <w:b/>
          <w:bCs/>
          <w:color w:val="auto"/>
          <w:sz w:val="20"/>
          <w:szCs w:val="20"/>
        </w:rPr>
      </w:pPr>
      <w:r w:rsidRPr="00D87ED1">
        <w:rPr>
          <w:rFonts w:asciiTheme="majorHAnsi" w:eastAsiaTheme="minorEastAsia" w:hAnsiTheme="majorHAnsi" w:cstheme="minorBidi"/>
          <w:b/>
          <w:bCs/>
          <w:color w:val="auto"/>
          <w:sz w:val="20"/>
          <w:szCs w:val="20"/>
        </w:rPr>
        <w:t>Maj na rynkach był dużo mniej spektakularny</w:t>
      </w:r>
      <w:r w:rsidRPr="00D87ED1">
        <w:rPr>
          <w:rFonts w:asciiTheme="majorHAnsi" w:eastAsiaTheme="minorEastAsia" w:hAnsiTheme="majorHAnsi" w:cstheme="minorBidi"/>
          <w:b/>
          <w:bCs/>
          <w:color w:val="auto"/>
          <w:sz w:val="20"/>
          <w:szCs w:val="20"/>
        </w:rPr>
        <w:t xml:space="preserve"> </w:t>
      </w:r>
      <w:r w:rsidRPr="00D87ED1">
        <w:rPr>
          <w:rFonts w:asciiTheme="majorHAnsi" w:eastAsiaTheme="minorEastAsia" w:hAnsiTheme="majorHAnsi" w:cstheme="minorBidi"/>
          <w:b/>
          <w:bCs/>
          <w:color w:val="auto"/>
          <w:sz w:val="20"/>
          <w:szCs w:val="20"/>
        </w:rPr>
        <w:t xml:space="preserve">niż kwiecień. Widoczna była większa nerwowość inwestorów, która wynikała z obaw o tempo dochodzenia gospodarek do pełnej sprawności. Nie bez znaczenia były również pojawiające się poboczne kwestie polityczne, jak wzrost napięcia na linii USA – Chiny, wynikające zarówno z polityki Chin wobec Hong-Kongu, jak również trwającej w Stanach Zjednoczonych kampanii wyborczej. </w:t>
      </w:r>
    </w:p>
    <w:p w14:paraId="0439BEF1" w14:textId="77777777" w:rsidR="00D87ED1" w:rsidRDefault="00D87ED1" w:rsidP="00D87ED1">
      <w:pPr>
        <w:widowControl/>
        <w:spacing w:after="0" w:line="240" w:lineRule="auto"/>
        <w:jc w:val="both"/>
        <w:rPr>
          <w:rFonts w:asciiTheme="majorHAnsi" w:eastAsiaTheme="minorEastAsia" w:hAnsiTheme="majorHAnsi" w:cstheme="minorBidi"/>
          <w:color w:val="auto"/>
          <w:sz w:val="20"/>
          <w:szCs w:val="20"/>
        </w:rPr>
      </w:pPr>
    </w:p>
    <w:p w14:paraId="4601C9B4" w14:textId="53CE397A" w:rsidR="00D87ED1" w:rsidRDefault="00D87ED1" w:rsidP="00D87ED1">
      <w:pPr>
        <w:widowControl/>
        <w:spacing w:after="0" w:line="240" w:lineRule="auto"/>
        <w:jc w:val="both"/>
        <w:rPr>
          <w:rFonts w:asciiTheme="majorHAnsi" w:eastAsiaTheme="minorEastAsia" w:hAnsiTheme="majorHAnsi" w:cstheme="minorBidi"/>
          <w:color w:val="auto"/>
          <w:sz w:val="20"/>
          <w:szCs w:val="20"/>
        </w:rPr>
      </w:pPr>
      <w:r w:rsidRPr="00D87ED1">
        <w:rPr>
          <w:rFonts w:asciiTheme="majorHAnsi" w:eastAsiaTheme="minorEastAsia" w:hAnsiTheme="majorHAnsi" w:cstheme="minorBidi"/>
          <w:color w:val="auto"/>
          <w:sz w:val="20"/>
          <w:szCs w:val="20"/>
        </w:rPr>
        <w:t>Pomijając jedna</w:t>
      </w:r>
      <w:r>
        <w:rPr>
          <w:rFonts w:asciiTheme="majorHAnsi" w:eastAsiaTheme="minorEastAsia" w:hAnsiTheme="majorHAnsi" w:cstheme="minorBidi"/>
          <w:color w:val="auto"/>
          <w:sz w:val="20"/>
          <w:szCs w:val="20"/>
        </w:rPr>
        <w:t>k</w:t>
      </w:r>
      <w:r w:rsidRPr="00D87ED1">
        <w:rPr>
          <w:rFonts w:asciiTheme="majorHAnsi" w:eastAsiaTheme="minorEastAsia" w:hAnsiTheme="majorHAnsi" w:cstheme="minorBidi"/>
          <w:color w:val="auto"/>
          <w:sz w:val="20"/>
          <w:szCs w:val="20"/>
        </w:rPr>
        <w:t xml:space="preserve"> wspomnianą nerwowość, indeksy w dalszym ciągu pięły się w górę. Amerykański S&amp;P 500 zyskał w maju 4,53%, wychodząc powyżej poziomu 3000 punktów. Jeszcze lepiej spisał się amerykański </w:t>
      </w:r>
      <w:proofErr w:type="spellStart"/>
      <w:r w:rsidRPr="00D87ED1">
        <w:rPr>
          <w:rFonts w:asciiTheme="majorHAnsi" w:eastAsiaTheme="minorEastAsia" w:hAnsiTheme="majorHAnsi" w:cstheme="minorBidi"/>
          <w:color w:val="auto"/>
          <w:sz w:val="20"/>
          <w:szCs w:val="20"/>
        </w:rPr>
        <w:t>Nasdaq</w:t>
      </w:r>
      <w:proofErr w:type="spellEnd"/>
      <w:r w:rsidRPr="00D87ED1">
        <w:rPr>
          <w:rFonts w:asciiTheme="majorHAnsi" w:eastAsiaTheme="minorEastAsia" w:hAnsiTheme="majorHAnsi" w:cstheme="minorBidi"/>
          <w:color w:val="auto"/>
          <w:sz w:val="20"/>
          <w:szCs w:val="20"/>
        </w:rPr>
        <w:t>, który zyskał 6,75%, zachowując niecałe 400 punktów do poziomu historycznego szczytu. Dość podobnie wyglądała sytuacja krajowych indeksów. Najlepiej spisał się sWIG80, który w maju wzrósł o 6,21%, najlepiej oparł się również podwyższonej zmienności. Średnie spółki zyskały 2,52%, zaś duże 4,49%. Wynik byłby jeszcze lepszy, gdyby nie spadki kursów banków pod koniec miesiąca, spowodowane dość niespodziewaną obniżką stóp procentowych w ostatnim tygodniu miesiąca. WIG</w:t>
      </w:r>
      <w:r>
        <w:rPr>
          <w:rFonts w:asciiTheme="majorHAnsi" w:eastAsiaTheme="minorEastAsia" w:hAnsiTheme="majorHAnsi" w:cstheme="minorBidi"/>
          <w:color w:val="auto"/>
          <w:sz w:val="20"/>
          <w:szCs w:val="20"/>
        </w:rPr>
        <w:t xml:space="preserve"> - b</w:t>
      </w:r>
      <w:r w:rsidRPr="00D87ED1">
        <w:rPr>
          <w:rFonts w:asciiTheme="majorHAnsi" w:eastAsiaTheme="minorEastAsia" w:hAnsiTheme="majorHAnsi" w:cstheme="minorBidi"/>
          <w:color w:val="auto"/>
          <w:sz w:val="20"/>
          <w:szCs w:val="20"/>
        </w:rPr>
        <w:t>ank</w:t>
      </w:r>
      <w:r>
        <w:rPr>
          <w:rFonts w:asciiTheme="majorHAnsi" w:eastAsiaTheme="minorEastAsia" w:hAnsiTheme="majorHAnsi" w:cstheme="minorBidi"/>
          <w:color w:val="auto"/>
          <w:sz w:val="20"/>
          <w:szCs w:val="20"/>
        </w:rPr>
        <w:t>i</w:t>
      </w:r>
      <w:r w:rsidRPr="00D87ED1">
        <w:rPr>
          <w:rFonts w:asciiTheme="majorHAnsi" w:eastAsiaTheme="minorEastAsia" w:hAnsiTheme="majorHAnsi" w:cstheme="minorBidi"/>
          <w:color w:val="auto"/>
          <w:sz w:val="20"/>
          <w:szCs w:val="20"/>
        </w:rPr>
        <w:t xml:space="preserve"> od początku roku stracił już 41%. Jednym z lepszych indeksów na rynku był WIG Games, który po kwietniowych wzrostach o 31%, w maju dołożył do tego kolejne 14%. Stopa zwrotu z tego indeksu od początku roku wynosi już 62%, wliczając </w:t>
      </w:r>
      <w:r>
        <w:rPr>
          <w:rFonts w:asciiTheme="majorHAnsi" w:eastAsiaTheme="minorEastAsia" w:hAnsiTheme="majorHAnsi" w:cstheme="minorBidi"/>
          <w:color w:val="auto"/>
          <w:sz w:val="20"/>
          <w:szCs w:val="20"/>
        </w:rPr>
        <w:t xml:space="preserve">w </w:t>
      </w:r>
      <w:r w:rsidRPr="00D87ED1">
        <w:rPr>
          <w:rFonts w:asciiTheme="majorHAnsi" w:eastAsiaTheme="minorEastAsia" w:hAnsiTheme="majorHAnsi" w:cstheme="minorBidi"/>
          <w:color w:val="auto"/>
          <w:sz w:val="20"/>
          <w:szCs w:val="20"/>
        </w:rPr>
        <w:t xml:space="preserve">to silne załamanie na przełomie lutego i marca. </w:t>
      </w:r>
    </w:p>
    <w:p w14:paraId="297FE027" w14:textId="29C7020D" w:rsidR="00D87ED1" w:rsidRDefault="00D87ED1" w:rsidP="00D87ED1">
      <w:pPr>
        <w:widowControl/>
        <w:spacing w:after="0" w:line="240" w:lineRule="auto"/>
        <w:jc w:val="both"/>
        <w:rPr>
          <w:rFonts w:asciiTheme="majorHAnsi" w:eastAsiaTheme="minorEastAsia" w:hAnsiTheme="majorHAnsi" w:cstheme="minorBidi"/>
          <w:color w:val="auto"/>
          <w:sz w:val="20"/>
          <w:szCs w:val="20"/>
        </w:rPr>
      </w:pPr>
    </w:p>
    <w:p w14:paraId="52A663F2" w14:textId="3E276DC9" w:rsidR="00D87ED1" w:rsidRPr="00D87ED1" w:rsidRDefault="00D87ED1" w:rsidP="00D87ED1">
      <w:pPr>
        <w:widowControl/>
        <w:spacing w:after="0" w:line="240" w:lineRule="auto"/>
        <w:jc w:val="both"/>
        <w:rPr>
          <w:rFonts w:asciiTheme="majorHAnsi" w:eastAsiaTheme="minorEastAsia" w:hAnsiTheme="majorHAnsi" w:cstheme="minorBidi"/>
          <w:b/>
          <w:bCs/>
          <w:color w:val="auto"/>
          <w:sz w:val="20"/>
          <w:szCs w:val="20"/>
        </w:rPr>
      </w:pPr>
      <w:r w:rsidRPr="00D87ED1">
        <w:rPr>
          <w:rFonts w:asciiTheme="majorHAnsi" w:eastAsiaTheme="minorEastAsia" w:hAnsiTheme="majorHAnsi" w:cstheme="minorBidi"/>
          <w:b/>
          <w:bCs/>
          <w:color w:val="auto"/>
          <w:sz w:val="20"/>
          <w:szCs w:val="20"/>
        </w:rPr>
        <w:t>W</w:t>
      </w:r>
      <w:r w:rsidRPr="00D87ED1">
        <w:rPr>
          <w:rFonts w:asciiTheme="majorHAnsi" w:eastAsiaTheme="minorEastAsia" w:hAnsiTheme="majorHAnsi" w:cstheme="minorBidi"/>
          <w:b/>
          <w:bCs/>
          <w:color w:val="auto"/>
          <w:sz w:val="20"/>
          <w:szCs w:val="20"/>
        </w:rPr>
        <w:t>yniki produkcji przemysłowej, jak i sprzedaży detalicznej były dużo słabsze niż oczekiwania analityków</w:t>
      </w:r>
    </w:p>
    <w:p w14:paraId="63CF313F" w14:textId="77777777" w:rsidR="00D87ED1" w:rsidRPr="00D87ED1" w:rsidRDefault="00D87ED1" w:rsidP="00D87ED1">
      <w:pPr>
        <w:widowControl/>
        <w:spacing w:after="0" w:line="240" w:lineRule="auto"/>
        <w:jc w:val="both"/>
        <w:rPr>
          <w:rFonts w:asciiTheme="majorHAnsi" w:eastAsiaTheme="minorEastAsia" w:hAnsiTheme="majorHAnsi" w:cstheme="minorBidi"/>
          <w:color w:val="auto"/>
          <w:sz w:val="20"/>
          <w:szCs w:val="20"/>
        </w:rPr>
      </w:pPr>
    </w:p>
    <w:p w14:paraId="176D0E33" w14:textId="77777777" w:rsidR="00D87ED1" w:rsidRDefault="00D87ED1" w:rsidP="00D87ED1">
      <w:pPr>
        <w:widowControl/>
        <w:spacing w:after="0" w:line="240" w:lineRule="auto"/>
        <w:jc w:val="both"/>
        <w:rPr>
          <w:rFonts w:asciiTheme="majorHAnsi" w:eastAsiaTheme="minorEastAsia" w:hAnsiTheme="majorHAnsi" w:cstheme="minorBidi"/>
          <w:color w:val="auto"/>
          <w:sz w:val="20"/>
          <w:szCs w:val="20"/>
        </w:rPr>
      </w:pPr>
      <w:r w:rsidRPr="00D87ED1">
        <w:rPr>
          <w:rFonts w:asciiTheme="majorHAnsi" w:eastAsiaTheme="minorEastAsia" w:hAnsiTheme="majorHAnsi" w:cstheme="minorBidi"/>
          <w:color w:val="auto"/>
          <w:sz w:val="20"/>
          <w:szCs w:val="20"/>
        </w:rPr>
        <w:t>Maj był okresem, w którym zaczęły pojawiać się pierwsze odczyty twardych danych gospodarczych za kwiecień, czyli pełny miesiąc zamknięcia gospodarki. Zarówno wyniki produkcji przemysłowej, jak i sprzedaży detalicznej były dużo słabsze niż oczekiwania analityków. Spadek produkcji przemysłowej o 24,7%, wobec prognoz na poziomie 10-11%, statystycznie cofnął krajową produkcję o kilka lat. Dużym zaskoczeniem był również tak silny spadek konsumpcji, spowodowany zarówno zamknięciem gospodarki, jak i zmianą nawyków konsumpcyjnych Polaków. Z danych za maj znamy już finalne odczyt</w:t>
      </w:r>
      <w:r>
        <w:rPr>
          <w:rFonts w:asciiTheme="majorHAnsi" w:eastAsiaTheme="minorEastAsia" w:hAnsiTheme="majorHAnsi" w:cstheme="minorBidi"/>
          <w:color w:val="auto"/>
          <w:sz w:val="20"/>
          <w:szCs w:val="20"/>
        </w:rPr>
        <w:t>y</w:t>
      </w:r>
      <w:r w:rsidRPr="00D87ED1">
        <w:rPr>
          <w:rFonts w:asciiTheme="majorHAnsi" w:eastAsiaTheme="minorEastAsia" w:hAnsiTheme="majorHAnsi" w:cstheme="minorBidi"/>
          <w:color w:val="auto"/>
          <w:sz w:val="20"/>
          <w:szCs w:val="20"/>
        </w:rPr>
        <w:t xml:space="preserve"> indeksów PMI. Krajowy indeks dla sektora przemysłu wyniósł 40,6 punktów. Dalej jest to jeden ze słabszych odczytów w historii, ale widać duży progres po kwietniowym odczycie 31,9 punktów. Był </w:t>
      </w:r>
      <w:r>
        <w:rPr>
          <w:rFonts w:asciiTheme="majorHAnsi" w:eastAsiaTheme="minorEastAsia" w:hAnsiTheme="majorHAnsi" w:cstheme="minorBidi"/>
          <w:color w:val="auto"/>
          <w:sz w:val="20"/>
          <w:szCs w:val="20"/>
        </w:rPr>
        <w:t>on</w:t>
      </w:r>
      <w:r w:rsidRPr="00D87ED1">
        <w:rPr>
          <w:rFonts w:asciiTheme="majorHAnsi" w:eastAsiaTheme="minorEastAsia" w:hAnsiTheme="majorHAnsi" w:cstheme="minorBidi"/>
          <w:color w:val="auto"/>
          <w:sz w:val="20"/>
          <w:szCs w:val="20"/>
        </w:rPr>
        <w:t xml:space="preserve"> zauważalnie lepszy niż oczekiwane 36 punktów. Widoczne jest powolne otwieranie się gospodarki, niepokoi jednak spadek nowych zamówień oraz spadki zatrudnienia. </w:t>
      </w:r>
      <w:r>
        <w:rPr>
          <w:rFonts w:asciiTheme="majorHAnsi" w:eastAsiaTheme="minorEastAsia" w:hAnsiTheme="majorHAnsi" w:cstheme="minorBidi"/>
          <w:color w:val="auto"/>
          <w:sz w:val="20"/>
          <w:szCs w:val="20"/>
        </w:rPr>
        <w:t>Widzimy również</w:t>
      </w:r>
      <w:r w:rsidRPr="00D87ED1">
        <w:rPr>
          <w:rFonts w:asciiTheme="majorHAnsi" w:eastAsiaTheme="minorEastAsia" w:hAnsiTheme="majorHAnsi" w:cstheme="minorBidi"/>
          <w:color w:val="auto"/>
          <w:sz w:val="20"/>
          <w:szCs w:val="20"/>
        </w:rPr>
        <w:t xml:space="preserve"> powoln</w:t>
      </w:r>
      <w:r>
        <w:rPr>
          <w:rFonts w:asciiTheme="majorHAnsi" w:eastAsiaTheme="minorEastAsia" w:hAnsiTheme="majorHAnsi" w:cstheme="minorBidi"/>
          <w:color w:val="auto"/>
          <w:sz w:val="20"/>
          <w:szCs w:val="20"/>
        </w:rPr>
        <w:t>ą</w:t>
      </w:r>
      <w:r w:rsidRPr="00D87ED1">
        <w:rPr>
          <w:rFonts w:asciiTheme="majorHAnsi" w:eastAsiaTheme="minorEastAsia" w:hAnsiTheme="majorHAnsi" w:cstheme="minorBidi"/>
          <w:color w:val="auto"/>
          <w:sz w:val="20"/>
          <w:szCs w:val="20"/>
        </w:rPr>
        <w:t xml:space="preserve"> odbudow</w:t>
      </w:r>
      <w:r>
        <w:rPr>
          <w:rFonts w:asciiTheme="majorHAnsi" w:eastAsiaTheme="minorEastAsia" w:hAnsiTheme="majorHAnsi" w:cstheme="minorBidi"/>
          <w:color w:val="auto"/>
          <w:sz w:val="20"/>
          <w:szCs w:val="20"/>
        </w:rPr>
        <w:t>ę</w:t>
      </w:r>
      <w:r w:rsidRPr="00D87ED1">
        <w:rPr>
          <w:rFonts w:asciiTheme="majorHAnsi" w:eastAsiaTheme="minorEastAsia" w:hAnsiTheme="majorHAnsi" w:cstheme="minorBidi"/>
          <w:color w:val="auto"/>
          <w:sz w:val="20"/>
          <w:szCs w:val="20"/>
        </w:rPr>
        <w:t xml:space="preserve"> europejskiego przemysłu, gdzie indeks dla całej strefy euro wyniósł w maju 39,6 punktów. </w:t>
      </w:r>
    </w:p>
    <w:p w14:paraId="4FB376D4" w14:textId="77777777" w:rsidR="00D87ED1" w:rsidRDefault="00D87ED1" w:rsidP="00D87ED1">
      <w:pPr>
        <w:widowControl/>
        <w:spacing w:after="0" w:line="240" w:lineRule="auto"/>
        <w:jc w:val="both"/>
        <w:rPr>
          <w:rFonts w:asciiTheme="majorHAnsi" w:eastAsiaTheme="minorEastAsia" w:hAnsiTheme="majorHAnsi" w:cstheme="minorBidi"/>
          <w:color w:val="auto"/>
          <w:sz w:val="20"/>
          <w:szCs w:val="20"/>
        </w:rPr>
      </w:pPr>
    </w:p>
    <w:p w14:paraId="4DA3EA36" w14:textId="5F2A8895" w:rsidR="00D87ED1" w:rsidRDefault="00D87ED1" w:rsidP="00D87ED1">
      <w:pPr>
        <w:widowControl/>
        <w:spacing w:after="0" w:line="240" w:lineRule="auto"/>
        <w:jc w:val="both"/>
        <w:rPr>
          <w:rFonts w:asciiTheme="majorHAnsi" w:eastAsiaTheme="minorEastAsia" w:hAnsiTheme="majorHAnsi" w:cstheme="minorBidi"/>
          <w:color w:val="auto"/>
          <w:sz w:val="20"/>
          <w:szCs w:val="20"/>
        </w:rPr>
      </w:pPr>
      <w:r w:rsidRPr="00D87ED1">
        <w:rPr>
          <w:rFonts w:asciiTheme="majorHAnsi" w:eastAsiaTheme="minorEastAsia" w:hAnsiTheme="majorHAnsi" w:cstheme="minorBidi"/>
          <w:color w:val="auto"/>
          <w:sz w:val="20"/>
          <w:szCs w:val="20"/>
        </w:rPr>
        <w:t>Podsumowując, widoczn</w:t>
      </w:r>
      <w:r>
        <w:rPr>
          <w:rFonts w:asciiTheme="majorHAnsi" w:eastAsiaTheme="minorEastAsia" w:hAnsiTheme="majorHAnsi" w:cstheme="minorBidi"/>
          <w:color w:val="auto"/>
          <w:sz w:val="20"/>
          <w:szCs w:val="20"/>
        </w:rPr>
        <w:t>y</w:t>
      </w:r>
      <w:r w:rsidRPr="00D87ED1">
        <w:rPr>
          <w:rFonts w:asciiTheme="majorHAnsi" w:eastAsiaTheme="minorEastAsia" w:hAnsiTheme="majorHAnsi" w:cstheme="minorBidi"/>
          <w:color w:val="auto"/>
          <w:sz w:val="20"/>
          <w:szCs w:val="20"/>
        </w:rPr>
        <w:t xml:space="preserve"> jest powolny powrót gospodarek na ścieżkę wzrostu, jest on jednak wolniejszy niż </w:t>
      </w:r>
      <w:r>
        <w:rPr>
          <w:rFonts w:asciiTheme="majorHAnsi" w:eastAsiaTheme="minorEastAsia" w:hAnsiTheme="majorHAnsi" w:cstheme="minorBidi"/>
          <w:color w:val="auto"/>
          <w:sz w:val="20"/>
          <w:szCs w:val="20"/>
        </w:rPr>
        <w:t>oczekiwano</w:t>
      </w:r>
      <w:r w:rsidRPr="00D87ED1">
        <w:rPr>
          <w:rFonts w:asciiTheme="majorHAnsi" w:eastAsiaTheme="minorEastAsia" w:hAnsiTheme="majorHAnsi" w:cstheme="minorBidi"/>
          <w:color w:val="auto"/>
          <w:sz w:val="20"/>
          <w:szCs w:val="20"/>
        </w:rPr>
        <w:t xml:space="preserve">, biorąc pod uwagę skalę programów wsparcia, jak i tempo otwierania poszczególnych gospodarek. Najwolniej powracać do normy będzie zapewne tempo konsumpcji prywatnej. Analizując dane wydatków z kart bankowych, w maju widoczny był zauważalny progres w stosunku do kwietnia, jakkolwiek osiągnięte poziomy dalekie są do tych z początku roku. Czynnikiem decydującym może być, obecna i potencjalna sytuacja na rynku pracy. Z uwagi na poziom elastyczności krajowego zatrudnienia, pełne efekty cięć dokonywanych przez firmy widoczne będą dopiero za kilka miesięcy. </w:t>
      </w:r>
    </w:p>
    <w:p w14:paraId="6F7ABD6A" w14:textId="77777777" w:rsidR="00D87ED1" w:rsidRPr="00D87ED1" w:rsidRDefault="00D87ED1" w:rsidP="00D87ED1">
      <w:pPr>
        <w:widowControl/>
        <w:spacing w:after="0" w:line="240" w:lineRule="auto"/>
        <w:jc w:val="both"/>
        <w:rPr>
          <w:rFonts w:asciiTheme="majorHAnsi" w:eastAsiaTheme="minorEastAsia" w:hAnsiTheme="majorHAnsi" w:cstheme="minorBidi"/>
          <w:color w:val="auto"/>
          <w:sz w:val="20"/>
          <w:szCs w:val="20"/>
        </w:rPr>
      </w:pPr>
    </w:p>
    <w:p w14:paraId="4665BD6A" w14:textId="2433ED45" w:rsidR="00D87ED1" w:rsidRPr="00D87ED1" w:rsidRDefault="00D87ED1" w:rsidP="00D87ED1">
      <w:pPr>
        <w:widowControl/>
        <w:spacing w:after="0" w:line="240" w:lineRule="auto"/>
        <w:jc w:val="both"/>
        <w:rPr>
          <w:rFonts w:asciiTheme="majorHAnsi" w:eastAsiaTheme="minorEastAsia" w:hAnsiTheme="majorHAnsi" w:cstheme="minorBidi"/>
          <w:b/>
          <w:bCs/>
          <w:color w:val="auto"/>
          <w:sz w:val="20"/>
          <w:szCs w:val="20"/>
        </w:rPr>
      </w:pPr>
      <w:r w:rsidRPr="00D87ED1">
        <w:rPr>
          <w:rFonts w:asciiTheme="majorHAnsi" w:eastAsiaTheme="minorEastAsia" w:hAnsiTheme="majorHAnsi" w:cstheme="minorBidi"/>
          <w:b/>
          <w:bCs/>
          <w:color w:val="auto"/>
          <w:sz w:val="20"/>
          <w:szCs w:val="20"/>
        </w:rPr>
        <w:t>Maj zakończył się dość optymistycznie dla inwestorów</w:t>
      </w:r>
    </w:p>
    <w:p w14:paraId="1B25384E" w14:textId="77777777" w:rsidR="00D87ED1" w:rsidRDefault="00D87ED1" w:rsidP="00D87ED1">
      <w:pPr>
        <w:widowControl/>
        <w:spacing w:after="0" w:line="240" w:lineRule="auto"/>
        <w:jc w:val="both"/>
        <w:rPr>
          <w:rFonts w:asciiTheme="majorHAnsi" w:eastAsiaTheme="minorEastAsia" w:hAnsiTheme="majorHAnsi" w:cstheme="minorBidi"/>
          <w:color w:val="auto"/>
          <w:sz w:val="20"/>
          <w:szCs w:val="20"/>
        </w:rPr>
      </w:pPr>
    </w:p>
    <w:p w14:paraId="0D1AB286" w14:textId="073632A4" w:rsidR="00540967" w:rsidRDefault="00D87ED1" w:rsidP="00D87ED1">
      <w:pPr>
        <w:widowControl/>
        <w:spacing w:after="0" w:line="240" w:lineRule="auto"/>
        <w:jc w:val="both"/>
        <w:rPr>
          <w:rFonts w:asciiTheme="majorHAnsi" w:eastAsiaTheme="minorEastAsia" w:hAnsiTheme="majorHAnsi" w:cstheme="minorBidi"/>
          <w:color w:val="auto"/>
          <w:sz w:val="20"/>
          <w:szCs w:val="20"/>
        </w:rPr>
      </w:pPr>
      <w:r w:rsidRPr="00D87ED1">
        <w:rPr>
          <w:rFonts w:asciiTheme="majorHAnsi" w:eastAsiaTheme="minorEastAsia" w:hAnsiTheme="majorHAnsi" w:cstheme="minorBidi"/>
          <w:color w:val="auto"/>
          <w:sz w:val="20"/>
          <w:szCs w:val="20"/>
        </w:rPr>
        <w:t xml:space="preserve">Powiedzenie </w:t>
      </w:r>
      <w:r>
        <w:rPr>
          <w:rFonts w:asciiTheme="majorHAnsi" w:eastAsiaTheme="minorEastAsia" w:hAnsiTheme="majorHAnsi" w:cstheme="minorBidi"/>
          <w:color w:val="auto"/>
          <w:sz w:val="20"/>
          <w:szCs w:val="20"/>
        </w:rPr>
        <w:t>„</w:t>
      </w:r>
      <w:proofErr w:type="spellStart"/>
      <w:r>
        <w:rPr>
          <w:rFonts w:asciiTheme="majorHAnsi" w:eastAsiaTheme="minorEastAsia" w:hAnsiTheme="majorHAnsi" w:cstheme="minorBidi"/>
          <w:color w:val="auto"/>
          <w:sz w:val="20"/>
          <w:szCs w:val="20"/>
        </w:rPr>
        <w:t>S</w:t>
      </w:r>
      <w:r w:rsidRPr="00D87ED1">
        <w:rPr>
          <w:rFonts w:asciiTheme="majorHAnsi" w:eastAsiaTheme="minorEastAsia" w:hAnsiTheme="majorHAnsi" w:cstheme="minorBidi"/>
          <w:color w:val="auto"/>
          <w:sz w:val="20"/>
          <w:szCs w:val="20"/>
        </w:rPr>
        <w:t>ell</w:t>
      </w:r>
      <w:proofErr w:type="spellEnd"/>
      <w:r w:rsidRPr="00D87ED1">
        <w:rPr>
          <w:rFonts w:asciiTheme="majorHAnsi" w:eastAsiaTheme="minorEastAsia" w:hAnsiTheme="majorHAnsi" w:cstheme="minorBidi"/>
          <w:color w:val="auto"/>
          <w:sz w:val="20"/>
          <w:szCs w:val="20"/>
        </w:rPr>
        <w:t xml:space="preserve"> in </w:t>
      </w:r>
      <w:proofErr w:type="spellStart"/>
      <w:r w:rsidRPr="00D87ED1">
        <w:rPr>
          <w:rFonts w:asciiTheme="majorHAnsi" w:eastAsiaTheme="minorEastAsia" w:hAnsiTheme="majorHAnsi" w:cstheme="minorBidi"/>
          <w:color w:val="auto"/>
          <w:sz w:val="20"/>
          <w:szCs w:val="20"/>
        </w:rPr>
        <w:t>may</w:t>
      </w:r>
      <w:proofErr w:type="spellEnd"/>
      <w:r w:rsidRPr="00D87ED1">
        <w:rPr>
          <w:rFonts w:asciiTheme="majorHAnsi" w:eastAsiaTheme="minorEastAsia" w:hAnsiTheme="majorHAnsi" w:cstheme="minorBidi"/>
          <w:color w:val="auto"/>
          <w:sz w:val="20"/>
          <w:szCs w:val="20"/>
        </w:rPr>
        <w:t xml:space="preserve"> and go </w:t>
      </w:r>
      <w:proofErr w:type="spellStart"/>
      <w:r w:rsidRPr="00D87ED1">
        <w:rPr>
          <w:rFonts w:asciiTheme="majorHAnsi" w:eastAsiaTheme="minorEastAsia" w:hAnsiTheme="majorHAnsi" w:cstheme="minorBidi"/>
          <w:color w:val="auto"/>
          <w:sz w:val="20"/>
          <w:szCs w:val="20"/>
        </w:rPr>
        <w:t>away</w:t>
      </w:r>
      <w:proofErr w:type="spellEnd"/>
      <w:r>
        <w:rPr>
          <w:rFonts w:asciiTheme="majorHAnsi" w:eastAsiaTheme="minorEastAsia" w:hAnsiTheme="majorHAnsi" w:cstheme="minorBidi"/>
          <w:color w:val="auto"/>
          <w:sz w:val="20"/>
          <w:szCs w:val="20"/>
        </w:rPr>
        <w:t>”</w:t>
      </w:r>
      <w:r w:rsidRPr="00D87ED1">
        <w:rPr>
          <w:rFonts w:asciiTheme="majorHAnsi" w:eastAsiaTheme="minorEastAsia" w:hAnsiTheme="majorHAnsi" w:cstheme="minorBidi"/>
          <w:color w:val="auto"/>
          <w:sz w:val="20"/>
          <w:szCs w:val="20"/>
        </w:rPr>
        <w:t xml:space="preserve"> nie miało w tym miesiącu racji bytu. Prawdopodobnie, podobnie jak maj, czerwiec będzie dość nerwowym miesiącem, kluczowe będzie tempo dochodzenia gospodarek do pełnej sprawności oraz ewentualny wzrost napięć politycznych. Zakładając brak zaostrzenia sytuacji związanej z pandemią, czynnik ten sam w sobie nie powinien wywoływać podwyższonej nerwowości. Kluczowe mogą okazać się za to kolejne informacje o postępach prac nad nową szczepionką, gdyż część inwestorów ma w dalszym ciągu z tyłu głowy widmo drugiej fali zachorowań. Do miesięcy wakacyjnych nie podchodziłbym już jednak z tak </w:t>
      </w:r>
      <w:r w:rsidRPr="00D87ED1">
        <w:rPr>
          <w:rFonts w:asciiTheme="majorHAnsi" w:eastAsiaTheme="minorEastAsia" w:hAnsiTheme="majorHAnsi" w:cstheme="minorBidi"/>
          <w:color w:val="auto"/>
          <w:sz w:val="20"/>
          <w:szCs w:val="20"/>
        </w:rPr>
        <w:lastRenderedPageBreak/>
        <w:t>bezkrytycznym optymizmem. Wyniki spółek za II kwartał mogą inwestorów bardzo negatywnie zaskoczyć, co może wywołać korektę ostatnich wzrostów.</w:t>
      </w:r>
    </w:p>
    <w:p w14:paraId="45417D7E" w14:textId="7C782249" w:rsidR="00015995" w:rsidRDefault="00015995" w:rsidP="00D87ED1">
      <w:pPr>
        <w:widowControl/>
        <w:spacing w:after="0" w:line="240" w:lineRule="auto"/>
        <w:jc w:val="both"/>
        <w:rPr>
          <w:rFonts w:asciiTheme="majorHAnsi" w:eastAsiaTheme="minorEastAsia" w:hAnsiTheme="majorHAnsi" w:cstheme="minorBidi"/>
          <w:color w:val="auto"/>
          <w:sz w:val="20"/>
          <w:szCs w:val="20"/>
        </w:rPr>
      </w:pPr>
    </w:p>
    <w:p w14:paraId="27C850B8" w14:textId="63B211F0" w:rsidR="00015995" w:rsidRPr="00015995" w:rsidRDefault="00015995" w:rsidP="00D87ED1">
      <w:pPr>
        <w:widowControl/>
        <w:spacing w:after="0" w:line="240" w:lineRule="auto"/>
        <w:jc w:val="both"/>
        <w:rPr>
          <w:rFonts w:asciiTheme="majorHAnsi" w:eastAsiaTheme="minorEastAsia" w:hAnsiTheme="majorHAnsi" w:cstheme="minorBidi"/>
          <w:b/>
          <w:bCs/>
          <w:color w:val="auto"/>
          <w:sz w:val="20"/>
          <w:szCs w:val="20"/>
        </w:rPr>
      </w:pPr>
      <w:r w:rsidRPr="00015995">
        <w:rPr>
          <w:rFonts w:asciiTheme="majorHAnsi" w:eastAsiaTheme="minorEastAsia" w:hAnsiTheme="majorHAnsi" w:cstheme="minorBidi"/>
          <w:b/>
          <w:bCs/>
          <w:color w:val="auto"/>
          <w:sz w:val="20"/>
          <w:szCs w:val="20"/>
        </w:rPr>
        <w:t xml:space="preserve">Autor komentarza: </w:t>
      </w:r>
      <w:r w:rsidRPr="00015995">
        <w:rPr>
          <w:rFonts w:asciiTheme="majorHAnsi" w:eastAsiaTheme="minorEastAsia" w:hAnsiTheme="majorHAnsi" w:cstheme="minorBidi"/>
          <w:b/>
          <w:bCs/>
          <w:color w:val="auto"/>
          <w:sz w:val="20"/>
          <w:szCs w:val="20"/>
        </w:rPr>
        <w:t>Kamil</w:t>
      </w:r>
      <w:r>
        <w:rPr>
          <w:rFonts w:asciiTheme="majorHAnsi" w:eastAsiaTheme="minorEastAsia" w:hAnsiTheme="majorHAnsi" w:cstheme="minorBidi"/>
          <w:b/>
          <w:bCs/>
          <w:color w:val="auto"/>
          <w:sz w:val="20"/>
          <w:szCs w:val="20"/>
        </w:rPr>
        <w:t xml:space="preserve"> </w:t>
      </w:r>
      <w:proofErr w:type="spellStart"/>
      <w:r w:rsidRPr="00015995">
        <w:rPr>
          <w:rFonts w:asciiTheme="majorHAnsi" w:eastAsiaTheme="minorEastAsia" w:hAnsiTheme="majorHAnsi" w:cstheme="minorBidi"/>
          <w:b/>
          <w:bCs/>
          <w:color w:val="auto"/>
          <w:sz w:val="20"/>
          <w:szCs w:val="20"/>
        </w:rPr>
        <w:t>Hajdamowicz</w:t>
      </w:r>
      <w:proofErr w:type="spellEnd"/>
      <w:r w:rsidRPr="00015995">
        <w:rPr>
          <w:rFonts w:asciiTheme="majorHAnsi" w:eastAsiaTheme="minorEastAsia" w:hAnsiTheme="majorHAnsi" w:cstheme="minorBidi"/>
          <w:b/>
          <w:bCs/>
          <w:color w:val="auto"/>
          <w:sz w:val="20"/>
          <w:szCs w:val="20"/>
        </w:rPr>
        <w:t>, zarządzając</w:t>
      </w:r>
      <w:r w:rsidRPr="00015995">
        <w:rPr>
          <w:rFonts w:asciiTheme="majorHAnsi" w:eastAsiaTheme="minorEastAsia" w:hAnsiTheme="majorHAnsi" w:cstheme="minorBidi"/>
          <w:b/>
          <w:bCs/>
          <w:color w:val="auto"/>
          <w:sz w:val="20"/>
          <w:szCs w:val="20"/>
        </w:rPr>
        <w:t>y</w:t>
      </w:r>
      <w:r w:rsidRPr="00015995">
        <w:rPr>
          <w:rFonts w:asciiTheme="majorHAnsi" w:eastAsiaTheme="minorEastAsia" w:hAnsiTheme="majorHAnsi" w:cstheme="minorBidi"/>
          <w:b/>
          <w:bCs/>
          <w:color w:val="auto"/>
          <w:sz w:val="20"/>
          <w:szCs w:val="20"/>
        </w:rPr>
        <w:t xml:space="preserve"> aktywami </w:t>
      </w:r>
      <w:proofErr w:type="spellStart"/>
      <w:r w:rsidRPr="00015995">
        <w:rPr>
          <w:rFonts w:asciiTheme="majorHAnsi" w:eastAsiaTheme="minorEastAsia" w:hAnsiTheme="majorHAnsi" w:cstheme="minorBidi"/>
          <w:b/>
          <w:bCs/>
          <w:color w:val="auto"/>
          <w:sz w:val="20"/>
          <w:szCs w:val="20"/>
        </w:rPr>
        <w:t>Vienna</w:t>
      </w:r>
      <w:proofErr w:type="spellEnd"/>
      <w:r w:rsidRPr="00015995">
        <w:rPr>
          <w:rFonts w:asciiTheme="majorHAnsi" w:eastAsiaTheme="minorEastAsia" w:hAnsiTheme="majorHAnsi" w:cstheme="minorBidi"/>
          <w:b/>
          <w:bCs/>
          <w:color w:val="auto"/>
          <w:sz w:val="20"/>
          <w:szCs w:val="20"/>
        </w:rPr>
        <w:t xml:space="preserve"> Life T</w:t>
      </w:r>
      <w:r w:rsidR="0049153F">
        <w:rPr>
          <w:rFonts w:asciiTheme="majorHAnsi" w:eastAsiaTheme="minorEastAsia" w:hAnsiTheme="majorHAnsi" w:cstheme="minorBidi"/>
          <w:b/>
          <w:bCs/>
          <w:color w:val="auto"/>
          <w:sz w:val="20"/>
          <w:szCs w:val="20"/>
        </w:rPr>
        <w:t>U</w:t>
      </w:r>
      <w:r w:rsidRPr="00015995">
        <w:rPr>
          <w:rFonts w:asciiTheme="majorHAnsi" w:eastAsiaTheme="minorEastAsia" w:hAnsiTheme="majorHAnsi" w:cstheme="minorBidi"/>
          <w:b/>
          <w:bCs/>
          <w:color w:val="auto"/>
          <w:sz w:val="20"/>
          <w:szCs w:val="20"/>
        </w:rPr>
        <w:t xml:space="preserve"> na Życie S.A. </w:t>
      </w:r>
      <w:proofErr w:type="spellStart"/>
      <w:r w:rsidRPr="00015995">
        <w:rPr>
          <w:rFonts w:asciiTheme="majorHAnsi" w:eastAsiaTheme="minorEastAsia" w:hAnsiTheme="majorHAnsi" w:cstheme="minorBidi"/>
          <w:b/>
          <w:bCs/>
          <w:color w:val="auto"/>
          <w:sz w:val="20"/>
          <w:szCs w:val="20"/>
        </w:rPr>
        <w:t>Vienna</w:t>
      </w:r>
      <w:proofErr w:type="spellEnd"/>
      <w:r w:rsidRPr="00015995">
        <w:rPr>
          <w:rFonts w:asciiTheme="majorHAnsi" w:eastAsiaTheme="minorEastAsia" w:hAnsiTheme="majorHAnsi" w:cstheme="minorBidi"/>
          <w:b/>
          <w:bCs/>
          <w:color w:val="auto"/>
          <w:sz w:val="20"/>
          <w:szCs w:val="20"/>
        </w:rPr>
        <w:t xml:space="preserve"> </w:t>
      </w:r>
      <w:proofErr w:type="spellStart"/>
      <w:r w:rsidRPr="00015995">
        <w:rPr>
          <w:rFonts w:asciiTheme="majorHAnsi" w:eastAsiaTheme="minorEastAsia" w:hAnsiTheme="majorHAnsi" w:cstheme="minorBidi"/>
          <w:b/>
          <w:bCs/>
          <w:color w:val="auto"/>
          <w:sz w:val="20"/>
          <w:szCs w:val="20"/>
        </w:rPr>
        <w:t>Insurance</w:t>
      </w:r>
      <w:proofErr w:type="spellEnd"/>
      <w:r w:rsidRPr="00015995">
        <w:rPr>
          <w:rFonts w:asciiTheme="majorHAnsi" w:eastAsiaTheme="minorEastAsia" w:hAnsiTheme="majorHAnsi" w:cstheme="minorBidi"/>
          <w:b/>
          <w:bCs/>
          <w:color w:val="auto"/>
          <w:sz w:val="20"/>
          <w:szCs w:val="20"/>
        </w:rPr>
        <w:t xml:space="preserve"> </w:t>
      </w:r>
      <w:proofErr w:type="spellStart"/>
      <w:r w:rsidRPr="00015995">
        <w:rPr>
          <w:rFonts w:asciiTheme="majorHAnsi" w:eastAsiaTheme="minorEastAsia" w:hAnsiTheme="majorHAnsi" w:cstheme="minorBidi"/>
          <w:b/>
          <w:bCs/>
          <w:color w:val="auto"/>
          <w:sz w:val="20"/>
          <w:szCs w:val="20"/>
        </w:rPr>
        <w:t>Group</w:t>
      </w:r>
      <w:proofErr w:type="spellEnd"/>
      <w:r w:rsidRPr="00015995">
        <w:rPr>
          <w:rFonts w:asciiTheme="majorHAnsi" w:eastAsiaTheme="minorEastAsia" w:hAnsiTheme="majorHAnsi" w:cstheme="minorBidi"/>
          <w:b/>
          <w:bCs/>
          <w:color w:val="auto"/>
          <w:sz w:val="20"/>
          <w:szCs w:val="20"/>
        </w:rPr>
        <w:t>.</w:t>
      </w:r>
    </w:p>
    <w:p w14:paraId="466C48EF" w14:textId="77777777" w:rsidR="00D87ED1" w:rsidRPr="00DD5284" w:rsidRDefault="00D87ED1" w:rsidP="00D87ED1">
      <w:pPr>
        <w:widowControl/>
        <w:spacing w:after="0" w:line="240" w:lineRule="auto"/>
        <w:jc w:val="both"/>
        <w:rPr>
          <w:rFonts w:asciiTheme="majorHAnsi" w:eastAsiaTheme="minorEastAsia" w:hAnsiTheme="majorHAnsi" w:cstheme="minorBidi"/>
          <w:color w:val="auto"/>
          <w:sz w:val="20"/>
          <w:szCs w:val="20"/>
        </w:rPr>
      </w:pPr>
    </w:p>
    <w:p w14:paraId="543F66C4" w14:textId="77777777" w:rsidR="003A455B" w:rsidRPr="00DD5284" w:rsidRDefault="003A455B" w:rsidP="000D01ED">
      <w:pPr>
        <w:spacing w:after="240" w:line="240" w:lineRule="auto"/>
        <w:jc w:val="center"/>
        <w:rPr>
          <w:rFonts w:asciiTheme="majorHAnsi" w:hAnsiTheme="majorHAnsi"/>
          <w:color w:val="auto"/>
          <w:sz w:val="20"/>
          <w:szCs w:val="20"/>
        </w:rPr>
      </w:pPr>
      <w:r w:rsidRPr="00DD5284">
        <w:rPr>
          <w:rFonts w:asciiTheme="majorHAnsi" w:hAnsiTheme="majorHAnsi"/>
          <w:color w:val="auto"/>
          <w:sz w:val="20"/>
          <w:szCs w:val="20"/>
        </w:rPr>
        <w:t>***</w:t>
      </w:r>
    </w:p>
    <w:p w14:paraId="1F564DDD" w14:textId="77777777" w:rsidR="003A455B" w:rsidRPr="00DD5284" w:rsidRDefault="003A455B" w:rsidP="000D01ED">
      <w:pPr>
        <w:spacing w:after="240" w:line="240" w:lineRule="auto"/>
        <w:jc w:val="both"/>
        <w:rPr>
          <w:rFonts w:asciiTheme="majorHAnsi" w:hAnsiTheme="majorHAnsi"/>
          <w:color w:val="auto"/>
          <w:sz w:val="20"/>
          <w:szCs w:val="20"/>
        </w:rPr>
      </w:pPr>
      <w:proofErr w:type="spellStart"/>
      <w:r w:rsidRPr="00DD5284">
        <w:rPr>
          <w:rFonts w:asciiTheme="majorHAnsi" w:hAnsiTheme="majorHAnsi"/>
          <w:b/>
          <w:color w:val="auto"/>
          <w:sz w:val="20"/>
          <w:szCs w:val="20"/>
        </w:rPr>
        <w:t>Vienna</w:t>
      </w:r>
      <w:proofErr w:type="spellEnd"/>
      <w:r w:rsidRPr="00DD5284">
        <w:rPr>
          <w:rFonts w:asciiTheme="majorHAnsi" w:hAnsiTheme="majorHAnsi"/>
          <w:b/>
          <w:color w:val="auto"/>
          <w:sz w:val="20"/>
          <w:szCs w:val="20"/>
        </w:rPr>
        <w:t xml:space="preserve"> Life Towarzystwo Ubezpieczeń na Życie S.A. </w:t>
      </w:r>
      <w:proofErr w:type="spellStart"/>
      <w:r w:rsidRPr="00DD5284">
        <w:rPr>
          <w:rFonts w:asciiTheme="majorHAnsi" w:hAnsiTheme="majorHAnsi"/>
          <w:b/>
          <w:color w:val="auto"/>
          <w:sz w:val="20"/>
          <w:szCs w:val="20"/>
        </w:rPr>
        <w:t>Vienna</w:t>
      </w:r>
      <w:proofErr w:type="spellEnd"/>
      <w:r w:rsidRPr="00DD5284">
        <w:rPr>
          <w:rFonts w:asciiTheme="majorHAnsi" w:hAnsiTheme="majorHAnsi"/>
          <w:b/>
          <w:color w:val="auto"/>
          <w:sz w:val="20"/>
          <w:szCs w:val="20"/>
        </w:rPr>
        <w:t xml:space="preserve"> </w:t>
      </w:r>
      <w:proofErr w:type="spellStart"/>
      <w:r w:rsidRPr="00DD5284">
        <w:rPr>
          <w:rFonts w:asciiTheme="majorHAnsi" w:hAnsiTheme="majorHAnsi"/>
          <w:b/>
          <w:color w:val="auto"/>
          <w:sz w:val="20"/>
          <w:szCs w:val="20"/>
        </w:rPr>
        <w:t>Insurance</w:t>
      </w:r>
      <w:proofErr w:type="spellEnd"/>
      <w:r w:rsidRPr="00DD5284">
        <w:rPr>
          <w:rFonts w:asciiTheme="majorHAnsi" w:hAnsiTheme="majorHAnsi"/>
          <w:b/>
          <w:color w:val="auto"/>
          <w:sz w:val="20"/>
          <w:szCs w:val="20"/>
        </w:rPr>
        <w:t xml:space="preserve"> </w:t>
      </w:r>
      <w:proofErr w:type="spellStart"/>
      <w:r w:rsidRPr="00DD5284">
        <w:rPr>
          <w:rFonts w:asciiTheme="majorHAnsi" w:hAnsiTheme="majorHAnsi"/>
          <w:b/>
          <w:color w:val="auto"/>
          <w:sz w:val="20"/>
          <w:szCs w:val="20"/>
        </w:rPr>
        <w:t>Group</w:t>
      </w:r>
      <w:proofErr w:type="spellEnd"/>
      <w:r w:rsidRPr="00DD5284">
        <w:rPr>
          <w:rFonts w:asciiTheme="majorHAnsi" w:hAnsiTheme="majorHAnsi"/>
          <w:color w:val="auto"/>
          <w:sz w:val="20"/>
          <w:szCs w:val="20"/>
        </w:rPr>
        <w:t xml:space="preserve"> powstała w 1999 roku</w:t>
      </w:r>
      <w:r w:rsidR="009D68A6" w:rsidRPr="00DD5284">
        <w:rPr>
          <w:rFonts w:asciiTheme="majorHAnsi" w:hAnsiTheme="majorHAnsi"/>
          <w:color w:val="auto"/>
          <w:sz w:val="20"/>
          <w:szCs w:val="20"/>
        </w:rPr>
        <w:t>.</w:t>
      </w:r>
      <w:r w:rsidRPr="00DD5284">
        <w:rPr>
          <w:rFonts w:asciiTheme="majorHAnsi" w:hAnsiTheme="majorHAnsi"/>
          <w:color w:val="auto"/>
          <w:sz w:val="20"/>
          <w:szCs w:val="20"/>
        </w:rPr>
        <w:t xml:space="preserve"> </w:t>
      </w:r>
      <w:proofErr w:type="spellStart"/>
      <w:r w:rsidRPr="00DD5284">
        <w:rPr>
          <w:rFonts w:asciiTheme="majorHAnsi" w:hAnsiTheme="majorHAnsi"/>
          <w:color w:val="auto"/>
          <w:sz w:val="20"/>
          <w:szCs w:val="20"/>
        </w:rPr>
        <w:t>Vienna</w:t>
      </w:r>
      <w:proofErr w:type="spellEnd"/>
      <w:r w:rsidRPr="00DD5284">
        <w:rPr>
          <w:rFonts w:asciiTheme="majorHAnsi" w:hAnsiTheme="majorHAnsi"/>
          <w:color w:val="auto"/>
          <w:sz w:val="20"/>
          <w:szCs w:val="20"/>
        </w:rPr>
        <w:t xml:space="preserve"> Life specjalizuje się w ubezpieczeniach na życie z ubezpieczeniowym funduszem kapitałowym oraz tradycyjnych ubezpieczeniach na życie. Klientom umożliwia uzyskiwanie w dłuższym horyzoncie czasowym niezależności finansowej, a tym samym realizację ważnych celów życiowych. Więcej informacji: </w:t>
      </w:r>
      <w:hyperlink r:id="rId7">
        <w:r w:rsidRPr="00DD5284">
          <w:rPr>
            <w:rFonts w:asciiTheme="majorHAnsi" w:hAnsiTheme="majorHAnsi"/>
            <w:color w:val="auto"/>
            <w:sz w:val="20"/>
            <w:szCs w:val="20"/>
          </w:rPr>
          <w:t>www.viennalife.pl</w:t>
        </w:r>
      </w:hyperlink>
      <w:r w:rsidRPr="00DD5284">
        <w:rPr>
          <w:rFonts w:asciiTheme="majorHAnsi" w:hAnsiTheme="majorHAnsi"/>
          <w:color w:val="auto"/>
          <w:sz w:val="20"/>
          <w:szCs w:val="20"/>
        </w:rPr>
        <w:t xml:space="preserve"> </w:t>
      </w:r>
    </w:p>
    <w:p w14:paraId="4CF5D6E6" w14:textId="77777777" w:rsidR="003A455B" w:rsidRPr="00DD5284" w:rsidRDefault="003A455B" w:rsidP="000D01ED">
      <w:pPr>
        <w:spacing w:after="240" w:line="240" w:lineRule="auto"/>
        <w:jc w:val="both"/>
        <w:rPr>
          <w:rFonts w:asciiTheme="majorHAnsi" w:hAnsiTheme="majorHAnsi"/>
          <w:color w:val="auto"/>
          <w:sz w:val="20"/>
          <w:szCs w:val="20"/>
        </w:rPr>
      </w:pPr>
      <w:proofErr w:type="spellStart"/>
      <w:r w:rsidRPr="00DD5284">
        <w:rPr>
          <w:rFonts w:asciiTheme="majorHAnsi" w:hAnsiTheme="majorHAnsi"/>
          <w:b/>
          <w:color w:val="auto"/>
          <w:sz w:val="20"/>
          <w:szCs w:val="20"/>
        </w:rPr>
        <w:t>Vienna</w:t>
      </w:r>
      <w:proofErr w:type="spellEnd"/>
      <w:r w:rsidRPr="00DD5284">
        <w:rPr>
          <w:rFonts w:asciiTheme="majorHAnsi" w:hAnsiTheme="majorHAnsi"/>
          <w:b/>
          <w:color w:val="auto"/>
          <w:sz w:val="20"/>
          <w:szCs w:val="20"/>
        </w:rPr>
        <w:t xml:space="preserve"> </w:t>
      </w:r>
      <w:proofErr w:type="spellStart"/>
      <w:r w:rsidRPr="00DD5284">
        <w:rPr>
          <w:rFonts w:asciiTheme="majorHAnsi" w:hAnsiTheme="majorHAnsi"/>
          <w:b/>
          <w:color w:val="auto"/>
          <w:sz w:val="20"/>
          <w:szCs w:val="20"/>
        </w:rPr>
        <w:t>Insurance</w:t>
      </w:r>
      <w:proofErr w:type="spellEnd"/>
      <w:r w:rsidRPr="00DD5284">
        <w:rPr>
          <w:rFonts w:asciiTheme="majorHAnsi" w:hAnsiTheme="majorHAnsi"/>
          <w:b/>
          <w:color w:val="auto"/>
          <w:sz w:val="20"/>
          <w:szCs w:val="20"/>
        </w:rPr>
        <w:t xml:space="preserve"> </w:t>
      </w:r>
      <w:proofErr w:type="spellStart"/>
      <w:r w:rsidRPr="00DD5284">
        <w:rPr>
          <w:rFonts w:asciiTheme="majorHAnsi" w:hAnsiTheme="majorHAnsi"/>
          <w:b/>
          <w:color w:val="auto"/>
          <w:sz w:val="20"/>
          <w:szCs w:val="20"/>
        </w:rPr>
        <w:t>Group</w:t>
      </w:r>
      <w:proofErr w:type="spellEnd"/>
      <w:r w:rsidRPr="00DD5284">
        <w:rPr>
          <w:rFonts w:asciiTheme="majorHAnsi" w:hAnsiTheme="majorHAnsi"/>
          <w:b/>
          <w:color w:val="auto"/>
          <w:sz w:val="20"/>
          <w:szCs w:val="20"/>
        </w:rPr>
        <w:t xml:space="preserve"> (VIG)</w:t>
      </w:r>
      <w:r w:rsidRPr="00DD5284">
        <w:rPr>
          <w:rFonts w:asciiTheme="majorHAnsi" w:hAnsiTheme="majorHAnsi"/>
          <w:color w:val="auto"/>
          <w:sz w:val="20"/>
          <w:szCs w:val="20"/>
        </w:rPr>
        <w:t xml:space="preserve"> jest wiodącym specjalistycznym koncernem ubezpieczeniowym w Austrii i w Europie Środkowo-Wschodniej. Należy do niego około 50 spółek w 25 krajach. Jest to koncern o długiej tradycji, posiadający mocne marki i przykładający dużą wagę do bliskości z klientem. VIG opiera swoją działalność na fundamencie 190-letniego doświadczenia w branży ubezpieczeń.</w:t>
      </w:r>
    </w:p>
    <w:p w14:paraId="0E421790" w14:textId="77777777" w:rsidR="003A455B" w:rsidRDefault="003A455B" w:rsidP="000D01ED">
      <w:pPr>
        <w:spacing w:after="240" w:line="240" w:lineRule="auto"/>
        <w:jc w:val="both"/>
        <w:rPr>
          <w:rFonts w:asciiTheme="majorHAnsi" w:hAnsiTheme="majorHAnsi"/>
          <w:color w:val="auto"/>
          <w:sz w:val="20"/>
          <w:szCs w:val="20"/>
        </w:rPr>
      </w:pPr>
      <w:proofErr w:type="spellStart"/>
      <w:r w:rsidRPr="00DD5284">
        <w:rPr>
          <w:rFonts w:asciiTheme="majorHAnsi" w:hAnsiTheme="majorHAnsi"/>
          <w:color w:val="auto"/>
          <w:sz w:val="20"/>
          <w:szCs w:val="20"/>
        </w:rPr>
        <w:t>Vienna</w:t>
      </w:r>
      <w:proofErr w:type="spellEnd"/>
      <w:r w:rsidRPr="00DD5284">
        <w:rPr>
          <w:rFonts w:asciiTheme="majorHAnsi" w:hAnsiTheme="majorHAnsi"/>
          <w:color w:val="auto"/>
          <w:sz w:val="20"/>
          <w:szCs w:val="20"/>
        </w:rPr>
        <w:t xml:space="preserve"> </w:t>
      </w:r>
      <w:proofErr w:type="spellStart"/>
      <w:r w:rsidRPr="00DD5284">
        <w:rPr>
          <w:rFonts w:asciiTheme="majorHAnsi" w:hAnsiTheme="majorHAnsi"/>
          <w:color w:val="auto"/>
          <w:sz w:val="20"/>
          <w:szCs w:val="20"/>
        </w:rPr>
        <w:t>Insurance</w:t>
      </w:r>
      <w:proofErr w:type="spellEnd"/>
      <w:r w:rsidRPr="00DD5284">
        <w:rPr>
          <w:rFonts w:asciiTheme="majorHAnsi" w:hAnsiTheme="majorHAnsi"/>
          <w:color w:val="auto"/>
          <w:sz w:val="20"/>
          <w:szCs w:val="20"/>
        </w:rPr>
        <w:t xml:space="preserve"> </w:t>
      </w:r>
      <w:proofErr w:type="spellStart"/>
      <w:r w:rsidRPr="00DD5284">
        <w:rPr>
          <w:rFonts w:asciiTheme="majorHAnsi" w:hAnsiTheme="majorHAnsi"/>
          <w:color w:val="auto"/>
          <w:sz w:val="20"/>
          <w:szCs w:val="20"/>
        </w:rPr>
        <w:t>Group</w:t>
      </w:r>
      <w:proofErr w:type="spellEnd"/>
      <w:r w:rsidRPr="00DD5284">
        <w:rPr>
          <w:rFonts w:asciiTheme="majorHAnsi" w:hAnsiTheme="majorHAnsi"/>
          <w:color w:val="auto"/>
          <w:sz w:val="20"/>
          <w:szCs w:val="20"/>
        </w:rPr>
        <w:t xml:space="preserve"> z blisko 25 tysiącami pracowników jest bezsprzecznym liderem na kluczowych rynkach koncernu i dzięki temu posiada doskonałą pozycję rynkową umożliwiającą wykorzystanie długofalowych szans wzrostu w regionie zamieszkiwanym przez 180 mln ludzi. Notowana na giełdzie </w:t>
      </w:r>
      <w:proofErr w:type="spellStart"/>
      <w:r w:rsidRPr="00DD5284">
        <w:rPr>
          <w:rFonts w:asciiTheme="majorHAnsi" w:hAnsiTheme="majorHAnsi"/>
          <w:color w:val="auto"/>
          <w:sz w:val="20"/>
          <w:szCs w:val="20"/>
        </w:rPr>
        <w:t>Vienna</w:t>
      </w:r>
      <w:proofErr w:type="spellEnd"/>
      <w:r w:rsidRPr="00DD5284">
        <w:rPr>
          <w:rFonts w:asciiTheme="majorHAnsi" w:hAnsiTheme="majorHAnsi"/>
          <w:color w:val="auto"/>
          <w:sz w:val="20"/>
          <w:szCs w:val="20"/>
        </w:rPr>
        <w:t xml:space="preserve"> </w:t>
      </w:r>
      <w:proofErr w:type="spellStart"/>
      <w:r w:rsidRPr="00DD5284">
        <w:rPr>
          <w:rFonts w:asciiTheme="majorHAnsi" w:hAnsiTheme="majorHAnsi"/>
          <w:color w:val="auto"/>
          <w:sz w:val="20"/>
          <w:szCs w:val="20"/>
        </w:rPr>
        <w:t>Insurance</w:t>
      </w:r>
      <w:proofErr w:type="spellEnd"/>
      <w:r w:rsidRPr="00DD5284">
        <w:rPr>
          <w:rFonts w:asciiTheme="majorHAnsi" w:hAnsiTheme="majorHAnsi"/>
          <w:color w:val="auto"/>
          <w:sz w:val="20"/>
          <w:szCs w:val="20"/>
        </w:rPr>
        <w:t xml:space="preserve"> </w:t>
      </w:r>
      <w:proofErr w:type="spellStart"/>
      <w:r w:rsidRPr="00DD5284">
        <w:rPr>
          <w:rFonts w:asciiTheme="majorHAnsi" w:hAnsiTheme="majorHAnsi"/>
          <w:color w:val="auto"/>
          <w:sz w:val="20"/>
          <w:szCs w:val="20"/>
        </w:rPr>
        <w:t>Group</w:t>
      </w:r>
      <w:proofErr w:type="spellEnd"/>
      <w:r w:rsidRPr="00DD5284">
        <w:rPr>
          <w:rFonts w:asciiTheme="majorHAnsi" w:hAnsiTheme="majorHAnsi"/>
          <w:color w:val="auto"/>
          <w:sz w:val="20"/>
          <w:szCs w:val="20"/>
        </w:rPr>
        <w:t xml:space="preserve"> jest firmą o najwyższym ratingu z wszystkich spółek głównego indeksu ATX giełdy wiedeńskiej; akcje VIG notowane są także na giełdzie w Pradze. Więcej informacji: </w:t>
      </w:r>
      <w:hyperlink r:id="rId8">
        <w:r w:rsidRPr="00DD5284">
          <w:rPr>
            <w:rFonts w:asciiTheme="majorHAnsi" w:hAnsiTheme="majorHAnsi"/>
            <w:color w:val="auto"/>
            <w:sz w:val="20"/>
            <w:szCs w:val="20"/>
          </w:rPr>
          <w:t>www.vig-polska.pl</w:t>
        </w:r>
      </w:hyperlink>
    </w:p>
    <w:p w14:paraId="188EB945" w14:textId="77777777" w:rsidR="00E85795" w:rsidRPr="00DD5284" w:rsidRDefault="00E85795" w:rsidP="000D01ED">
      <w:pPr>
        <w:spacing w:after="240" w:line="240" w:lineRule="auto"/>
        <w:jc w:val="both"/>
        <w:rPr>
          <w:rFonts w:asciiTheme="majorHAnsi" w:hAnsiTheme="majorHAnsi"/>
          <w:color w:val="auto"/>
          <w:sz w:val="20"/>
          <w:szCs w:val="20"/>
        </w:rPr>
      </w:pPr>
    </w:p>
    <w:p w14:paraId="36664A42" w14:textId="77777777" w:rsidR="00770427" w:rsidRPr="00DD5284" w:rsidRDefault="003A455B" w:rsidP="000D01ED">
      <w:pPr>
        <w:spacing w:after="240" w:line="240" w:lineRule="auto"/>
        <w:rPr>
          <w:rFonts w:asciiTheme="majorHAnsi" w:hAnsiTheme="majorHAnsi"/>
          <w:b/>
          <w:color w:val="auto"/>
          <w:sz w:val="20"/>
          <w:szCs w:val="20"/>
        </w:rPr>
      </w:pPr>
      <w:r w:rsidRPr="00DD5284">
        <w:rPr>
          <w:rFonts w:asciiTheme="majorHAnsi" w:hAnsiTheme="majorHAnsi"/>
          <w:b/>
          <w:color w:val="auto"/>
          <w:sz w:val="20"/>
          <w:szCs w:val="20"/>
        </w:rPr>
        <w:t>Kontakt dla mediów:</w:t>
      </w:r>
      <w:r w:rsidR="000D01ED" w:rsidRPr="00DD5284">
        <w:rPr>
          <w:rFonts w:asciiTheme="majorHAnsi" w:hAnsiTheme="majorHAnsi"/>
          <w:b/>
          <w:color w:val="auto"/>
          <w:sz w:val="20"/>
          <w:szCs w:val="20"/>
        </w:rPr>
        <w:br/>
      </w:r>
      <w:r w:rsidRPr="00DD5284">
        <w:rPr>
          <w:rFonts w:asciiTheme="majorHAnsi" w:hAnsiTheme="majorHAnsi"/>
          <w:color w:val="auto"/>
          <w:sz w:val="20"/>
          <w:szCs w:val="20"/>
        </w:rPr>
        <w:t xml:space="preserve">Biuro Prasowe </w:t>
      </w:r>
      <w:proofErr w:type="spellStart"/>
      <w:r w:rsidRPr="00DD5284">
        <w:rPr>
          <w:rFonts w:asciiTheme="majorHAnsi" w:hAnsiTheme="majorHAnsi"/>
          <w:color w:val="auto"/>
          <w:sz w:val="20"/>
          <w:szCs w:val="20"/>
        </w:rPr>
        <w:t>Vienna</w:t>
      </w:r>
      <w:proofErr w:type="spellEnd"/>
      <w:r w:rsidRPr="00DD5284">
        <w:rPr>
          <w:rFonts w:asciiTheme="majorHAnsi" w:hAnsiTheme="majorHAnsi"/>
          <w:color w:val="auto"/>
          <w:sz w:val="20"/>
          <w:szCs w:val="20"/>
        </w:rPr>
        <w:t xml:space="preserve"> Life Towarzystwo Ubezpieczeń na Życie S.A. </w:t>
      </w:r>
      <w:proofErr w:type="spellStart"/>
      <w:r w:rsidRPr="00DD5284">
        <w:rPr>
          <w:rFonts w:asciiTheme="majorHAnsi" w:hAnsiTheme="majorHAnsi"/>
          <w:color w:val="auto"/>
          <w:sz w:val="20"/>
          <w:szCs w:val="20"/>
        </w:rPr>
        <w:t>Vienna</w:t>
      </w:r>
      <w:proofErr w:type="spellEnd"/>
      <w:r w:rsidRPr="00DD5284">
        <w:rPr>
          <w:rFonts w:asciiTheme="majorHAnsi" w:hAnsiTheme="majorHAnsi"/>
          <w:color w:val="auto"/>
          <w:sz w:val="20"/>
          <w:szCs w:val="20"/>
        </w:rPr>
        <w:t xml:space="preserve"> </w:t>
      </w:r>
      <w:proofErr w:type="spellStart"/>
      <w:r w:rsidRPr="00DD5284">
        <w:rPr>
          <w:rFonts w:asciiTheme="majorHAnsi" w:hAnsiTheme="majorHAnsi"/>
          <w:color w:val="auto"/>
          <w:sz w:val="20"/>
          <w:szCs w:val="20"/>
        </w:rPr>
        <w:t>Insurance</w:t>
      </w:r>
      <w:proofErr w:type="spellEnd"/>
      <w:r w:rsidRPr="00DD5284">
        <w:rPr>
          <w:rFonts w:asciiTheme="majorHAnsi" w:hAnsiTheme="majorHAnsi"/>
          <w:color w:val="auto"/>
          <w:sz w:val="20"/>
          <w:szCs w:val="20"/>
        </w:rPr>
        <w:t xml:space="preserve"> </w:t>
      </w:r>
      <w:proofErr w:type="spellStart"/>
      <w:r w:rsidRPr="00DD5284">
        <w:rPr>
          <w:rFonts w:asciiTheme="majorHAnsi" w:hAnsiTheme="majorHAnsi"/>
          <w:color w:val="auto"/>
          <w:sz w:val="20"/>
          <w:szCs w:val="20"/>
        </w:rPr>
        <w:t>Group</w:t>
      </w:r>
      <w:proofErr w:type="spellEnd"/>
      <w:r w:rsidR="000D01ED" w:rsidRPr="00DD5284">
        <w:rPr>
          <w:rFonts w:asciiTheme="majorHAnsi" w:hAnsiTheme="majorHAnsi"/>
          <w:color w:val="auto"/>
          <w:sz w:val="20"/>
          <w:szCs w:val="20"/>
        </w:rPr>
        <w:br/>
      </w:r>
      <w:r w:rsidRPr="00DD5284">
        <w:rPr>
          <w:rFonts w:asciiTheme="majorHAnsi" w:hAnsiTheme="majorHAnsi"/>
          <w:color w:val="auto"/>
          <w:sz w:val="20"/>
          <w:szCs w:val="20"/>
        </w:rPr>
        <w:t>Anna Borowiec</w:t>
      </w:r>
      <w:r w:rsidR="000D01ED" w:rsidRPr="00DD5284">
        <w:rPr>
          <w:rFonts w:asciiTheme="majorHAnsi" w:hAnsiTheme="majorHAnsi"/>
          <w:color w:val="auto"/>
          <w:sz w:val="20"/>
          <w:szCs w:val="20"/>
        </w:rPr>
        <w:br/>
      </w:r>
      <w:r w:rsidRPr="00DD5284">
        <w:rPr>
          <w:rFonts w:asciiTheme="majorHAnsi" w:hAnsiTheme="majorHAnsi"/>
          <w:color w:val="auto"/>
          <w:sz w:val="20"/>
          <w:szCs w:val="20"/>
        </w:rPr>
        <w:t xml:space="preserve">WALK PR | </w:t>
      </w:r>
      <w:proofErr w:type="spellStart"/>
      <w:r w:rsidRPr="00DD5284">
        <w:rPr>
          <w:rFonts w:asciiTheme="majorHAnsi" w:hAnsiTheme="majorHAnsi"/>
          <w:color w:val="auto"/>
          <w:sz w:val="20"/>
          <w:szCs w:val="20"/>
        </w:rPr>
        <w:t>tel</w:t>
      </w:r>
      <w:proofErr w:type="spellEnd"/>
      <w:r w:rsidRPr="00DD5284">
        <w:rPr>
          <w:rFonts w:asciiTheme="majorHAnsi" w:hAnsiTheme="majorHAnsi"/>
          <w:color w:val="auto"/>
          <w:sz w:val="20"/>
          <w:szCs w:val="20"/>
        </w:rPr>
        <w:t>: +48 519 020 880</w:t>
      </w:r>
      <w:r w:rsidR="000D01ED" w:rsidRPr="00DD5284">
        <w:rPr>
          <w:rFonts w:asciiTheme="majorHAnsi" w:hAnsiTheme="majorHAnsi"/>
          <w:color w:val="auto"/>
          <w:sz w:val="20"/>
          <w:szCs w:val="20"/>
        </w:rPr>
        <w:br/>
      </w:r>
      <w:r w:rsidRPr="00DD5284">
        <w:rPr>
          <w:rFonts w:asciiTheme="majorHAnsi" w:hAnsiTheme="majorHAnsi"/>
          <w:color w:val="auto"/>
          <w:sz w:val="20"/>
          <w:szCs w:val="20"/>
        </w:rPr>
        <w:t>e-mail: viennalife@pressoffice24.pl</w:t>
      </w:r>
    </w:p>
    <w:sectPr w:rsidR="00770427" w:rsidRPr="00DD52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FC31A" w14:textId="77777777" w:rsidR="00475451" w:rsidRDefault="00475451">
      <w:pPr>
        <w:spacing w:after="0" w:line="240" w:lineRule="auto"/>
      </w:pPr>
      <w:r>
        <w:separator/>
      </w:r>
    </w:p>
  </w:endnote>
  <w:endnote w:type="continuationSeparator" w:id="0">
    <w:p w14:paraId="4FFDB528" w14:textId="77777777" w:rsidR="00475451" w:rsidRDefault="0047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CE">
    <w:altName w:val="Calibri"/>
    <w:panose1 w:val="020B0600040502020204"/>
    <w:charset w:val="58"/>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B466" w14:textId="77777777" w:rsidR="00D87ED1" w:rsidRDefault="00D87E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96D0" w14:textId="77777777" w:rsidR="00D87ED1" w:rsidRDefault="00D87ED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FD4F" w14:textId="77777777" w:rsidR="00D87ED1" w:rsidRDefault="00D87E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CFDD" w14:textId="77777777" w:rsidR="00475451" w:rsidRDefault="00475451">
      <w:pPr>
        <w:spacing w:after="0" w:line="240" w:lineRule="auto"/>
      </w:pPr>
      <w:r>
        <w:separator/>
      </w:r>
    </w:p>
  </w:footnote>
  <w:footnote w:type="continuationSeparator" w:id="0">
    <w:p w14:paraId="4726B38F" w14:textId="77777777" w:rsidR="00475451" w:rsidRDefault="0047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71AD" w14:textId="77777777" w:rsidR="00D87ED1" w:rsidRDefault="00D87E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4A03" w14:textId="77777777" w:rsidR="00F87D53" w:rsidRDefault="00F87D53">
    <w:pPr>
      <w:pStyle w:val="Normalny1"/>
      <w:tabs>
        <w:tab w:val="center" w:pos="4536"/>
        <w:tab w:val="right" w:pos="9072"/>
      </w:tabs>
      <w:spacing w:before="708" w:after="0" w:line="240" w:lineRule="auto"/>
      <w:jc w:val="center"/>
    </w:pPr>
    <w:r>
      <w:rPr>
        <w:noProof/>
        <w:lang w:val="en-US"/>
      </w:rPr>
      <w:drawing>
        <wp:inline distT="0" distB="0" distL="0" distR="0" wp14:anchorId="597FC495" wp14:editId="15A567F7">
          <wp:extent cx="1711526" cy="969180"/>
          <wp:effectExtent l="0" t="0" r="0" b="0"/>
          <wp:docPr id="1" name="image01.png" descr="Macintosh HD:Users:walk:Desktop:Vienna Life_LOGO.png"/>
          <wp:cNvGraphicFramePr/>
          <a:graphic xmlns:a="http://schemas.openxmlformats.org/drawingml/2006/main">
            <a:graphicData uri="http://schemas.openxmlformats.org/drawingml/2006/picture">
              <pic:pic xmlns:pic="http://schemas.openxmlformats.org/drawingml/2006/picture">
                <pic:nvPicPr>
                  <pic:cNvPr id="0" name="image01.png" descr="Macintosh HD:Users:walk:Desktop:Vienna Life_LOGO.png"/>
                  <pic:cNvPicPr preferRelativeResize="0"/>
                </pic:nvPicPr>
                <pic:blipFill>
                  <a:blip r:embed="rId1"/>
                  <a:srcRect/>
                  <a:stretch>
                    <a:fillRect/>
                  </a:stretch>
                </pic:blipFill>
                <pic:spPr>
                  <a:xfrm>
                    <a:off x="0" y="0"/>
                    <a:ext cx="1711526" cy="9691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5CC0" w14:textId="77777777" w:rsidR="00D87ED1" w:rsidRDefault="00D87E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370C"/>
    <w:multiLevelType w:val="hybridMultilevel"/>
    <w:tmpl w:val="3ED28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D61A90"/>
    <w:multiLevelType w:val="hybridMultilevel"/>
    <w:tmpl w:val="F0467596"/>
    <w:lvl w:ilvl="0" w:tplc="FE9442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80D34"/>
    <w:multiLevelType w:val="multilevel"/>
    <w:tmpl w:val="7DF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B0D6E"/>
    <w:multiLevelType w:val="hybridMultilevel"/>
    <w:tmpl w:val="CB5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27"/>
    <w:rsid w:val="00015995"/>
    <w:rsid w:val="000161A8"/>
    <w:rsid w:val="000220C9"/>
    <w:rsid w:val="00027803"/>
    <w:rsid w:val="00033D54"/>
    <w:rsid w:val="00035083"/>
    <w:rsid w:val="0004078D"/>
    <w:rsid w:val="0004342B"/>
    <w:rsid w:val="00052CF6"/>
    <w:rsid w:val="00090E0B"/>
    <w:rsid w:val="000923FF"/>
    <w:rsid w:val="000A0E0A"/>
    <w:rsid w:val="000B1897"/>
    <w:rsid w:val="000D01ED"/>
    <w:rsid w:val="000D725E"/>
    <w:rsid w:val="000E75EE"/>
    <w:rsid w:val="00107503"/>
    <w:rsid w:val="001266B6"/>
    <w:rsid w:val="00141C54"/>
    <w:rsid w:val="00141F8E"/>
    <w:rsid w:val="001447BF"/>
    <w:rsid w:val="00147B53"/>
    <w:rsid w:val="00167403"/>
    <w:rsid w:val="00172A36"/>
    <w:rsid w:val="00186E0F"/>
    <w:rsid w:val="0019132A"/>
    <w:rsid w:val="0019693A"/>
    <w:rsid w:val="001A0875"/>
    <w:rsid w:val="0020422F"/>
    <w:rsid w:val="00237899"/>
    <w:rsid w:val="00240E03"/>
    <w:rsid w:val="00250CD8"/>
    <w:rsid w:val="00275A65"/>
    <w:rsid w:val="00276F11"/>
    <w:rsid w:val="0028568D"/>
    <w:rsid w:val="0029042C"/>
    <w:rsid w:val="002A0D03"/>
    <w:rsid w:val="002C341D"/>
    <w:rsid w:val="002D6B58"/>
    <w:rsid w:val="002E1509"/>
    <w:rsid w:val="002E356F"/>
    <w:rsid w:val="002F47B9"/>
    <w:rsid w:val="0030143E"/>
    <w:rsid w:val="00303A7A"/>
    <w:rsid w:val="00305D93"/>
    <w:rsid w:val="0031072F"/>
    <w:rsid w:val="00320B50"/>
    <w:rsid w:val="003304E4"/>
    <w:rsid w:val="00345B88"/>
    <w:rsid w:val="0034634E"/>
    <w:rsid w:val="003608A8"/>
    <w:rsid w:val="003735D4"/>
    <w:rsid w:val="00382091"/>
    <w:rsid w:val="00387944"/>
    <w:rsid w:val="00392A2C"/>
    <w:rsid w:val="003A455B"/>
    <w:rsid w:val="003A68F1"/>
    <w:rsid w:val="003B0C8A"/>
    <w:rsid w:val="003C5032"/>
    <w:rsid w:val="003D2896"/>
    <w:rsid w:val="003F356A"/>
    <w:rsid w:val="003F6C17"/>
    <w:rsid w:val="00462F4C"/>
    <w:rsid w:val="004655A7"/>
    <w:rsid w:val="004666E1"/>
    <w:rsid w:val="00475451"/>
    <w:rsid w:val="0049153F"/>
    <w:rsid w:val="00492CA6"/>
    <w:rsid w:val="00495A9D"/>
    <w:rsid w:val="004A0F9A"/>
    <w:rsid w:val="004A38D0"/>
    <w:rsid w:val="004B21B6"/>
    <w:rsid w:val="004C5B0C"/>
    <w:rsid w:val="004F27D9"/>
    <w:rsid w:val="00501A21"/>
    <w:rsid w:val="00515194"/>
    <w:rsid w:val="00516BAC"/>
    <w:rsid w:val="00522A0E"/>
    <w:rsid w:val="005349BA"/>
    <w:rsid w:val="00536B3B"/>
    <w:rsid w:val="00540967"/>
    <w:rsid w:val="00552F50"/>
    <w:rsid w:val="0056206C"/>
    <w:rsid w:val="00565255"/>
    <w:rsid w:val="00565D13"/>
    <w:rsid w:val="00584929"/>
    <w:rsid w:val="00586397"/>
    <w:rsid w:val="005910B7"/>
    <w:rsid w:val="00594CE0"/>
    <w:rsid w:val="005976D2"/>
    <w:rsid w:val="005A3895"/>
    <w:rsid w:val="005E66AB"/>
    <w:rsid w:val="005F64ED"/>
    <w:rsid w:val="006204BB"/>
    <w:rsid w:val="00627F6D"/>
    <w:rsid w:val="006421F9"/>
    <w:rsid w:val="0065598E"/>
    <w:rsid w:val="00671AE2"/>
    <w:rsid w:val="00687AFA"/>
    <w:rsid w:val="006A11C5"/>
    <w:rsid w:val="006B299E"/>
    <w:rsid w:val="006D4480"/>
    <w:rsid w:val="006D7DFD"/>
    <w:rsid w:val="0070546B"/>
    <w:rsid w:val="007107DD"/>
    <w:rsid w:val="00711A1F"/>
    <w:rsid w:val="007211A7"/>
    <w:rsid w:val="0072580F"/>
    <w:rsid w:val="00754A08"/>
    <w:rsid w:val="0076748A"/>
    <w:rsid w:val="00770427"/>
    <w:rsid w:val="00776619"/>
    <w:rsid w:val="007A4C48"/>
    <w:rsid w:val="007B712A"/>
    <w:rsid w:val="007D7838"/>
    <w:rsid w:val="00800E98"/>
    <w:rsid w:val="008133D7"/>
    <w:rsid w:val="008143EF"/>
    <w:rsid w:val="008161D2"/>
    <w:rsid w:val="0081720D"/>
    <w:rsid w:val="00827B6A"/>
    <w:rsid w:val="00844E3A"/>
    <w:rsid w:val="00870B64"/>
    <w:rsid w:val="00870DA3"/>
    <w:rsid w:val="00877821"/>
    <w:rsid w:val="00880FBD"/>
    <w:rsid w:val="008862A6"/>
    <w:rsid w:val="008A18EF"/>
    <w:rsid w:val="008D0FF9"/>
    <w:rsid w:val="00903567"/>
    <w:rsid w:val="0090635D"/>
    <w:rsid w:val="0091157B"/>
    <w:rsid w:val="00914E20"/>
    <w:rsid w:val="00915689"/>
    <w:rsid w:val="009162DE"/>
    <w:rsid w:val="00920D50"/>
    <w:rsid w:val="009642AA"/>
    <w:rsid w:val="009857A7"/>
    <w:rsid w:val="009873C9"/>
    <w:rsid w:val="009B2DAC"/>
    <w:rsid w:val="009C3C61"/>
    <w:rsid w:val="009D01FD"/>
    <w:rsid w:val="009D5059"/>
    <w:rsid w:val="009D674C"/>
    <w:rsid w:val="009D68A6"/>
    <w:rsid w:val="009D6D75"/>
    <w:rsid w:val="009E3940"/>
    <w:rsid w:val="009E5814"/>
    <w:rsid w:val="009F2622"/>
    <w:rsid w:val="009F763C"/>
    <w:rsid w:val="00A00088"/>
    <w:rsid w:val="00A00ACE"/>
    <w:rsid w:val="00A01A80"/>
    <w:rsid w:val="00A0350D"/>
    <w:rsid w:val="00A100EE"/>
    <w:rsid w:val="00A22908"/>
    <w:rsid w:val="00A44648"/>
    <w:rsid w:val="00A60810"/>
    <w:rsid w:val="00A82F3A"/>
    <w:rsid w:val="00A92474"/>
    <w:rsid w:val="00AA02F7"/>
    <w:rsid w:val="00AA7384"/>
    <w:rsid w:val="00AA77CF"/>
    <w:rsid w:val="00AB2084"/>
    <w:rsid w:val="00AC4172"/>
    <w:rsid w:val="00AD0F90"/>
    <w:rsid w:val="00AD6A42"/>
    <w:rsid w:val="00AE1244"/>
    <w:rsid w:val="00AE2AC2"/>
    <w:rsid w:val="00AE5D97"/>
    <w:rsid w:val="00B47564"/>
    <w:rsid w:val="00B555FE"/>
    <w:rsid w:val="00B6201A"/>
    <w:rsid w:val="00B70F42"/>
    <w:rsid w:val="00B72455"/>
    <w:rsid w:val="00B75C04"/>
    <w:rsid w:val="00B76954"/>
    <w:rsid w:val="00B80EA5"/>
    <w:rsid w:val="00BB5725"/>
    <w:rsid w:val="00BC1214"/>
    <w:rsid w:val="00BC2789"/>
    <w:rsid w:val="00BC4BEC"/>
    <w:rsid w:val="00BC4F3C"/>
    <w:rsid w:val="00BD3929"/>
    <w:rsid w:val="00BD6237"/>
    <w:rsid w:val="00BD73AB"/>
    <w:rsid w:val="00BF20A3"/>
    <w:rsid w:val="00BF666C"/>
    <w:rsid w:val="00C042D2"/>
    <w:rsid w:val="00C10D29"/>
    <w:rsid w:val="00C23C64"/>
    <w:rsid w:val="00C40EBF"/>
    <w:rsid w:val="00C42D8D"/>
    <w:rsid w:val="00C6315D"/>
    <w:rsid w:val="00C80F11"/>
    <w:rsid w:val="00C921E7"/>
    <w:rsid w:val="00CA172F"/>
    <w:rsid w:val="00CC24A0"/>
    <w:rsid w:val="00CD13F5"/>
    <w:rsid w:val="00CE7F89"/>
    <w:rsid w:val="00D048AA"/>
    <w:rsid w:val="00D14B70"/>
    <w:rsid w:val="00D37C81"/>
    <w:rsid w:val="00D44E1A"/>
    <w:rsid w:val="00D52BEC"/>
    <w:rsid w:val="00D6228A"/>
    <w:rsid w:val="00D64EBD"/>
    <w:rsid w:val="00D73192"/>
    <w:rsid w:val="00D87ED1"/>
    <w:rsid w:val="00D91662"/>
    <w:rsid w:val="00D92D2F"/>
    <w:rsid w:val="00DA0FB2"/>
    <w:rsid w:val="00DB442D"/>
    <w:rsid w:val="00DD5284"/>
    <w:rsid w:val="00E27FDC"/>
    <w:rsid w:val="00E34801"/>
    <w:rsid w:val="00E37AC6"/>
    <w:rsid w:val="00E451C7"/>
    <w:rsid w:val="00E61563"/>
    <w:rsid w:val="00E67918"/>
    <w:rsid w:val="00E85795"/>
    <w:rsid w:val="00ED026C"/>
    <w:rsid w:val="00EE27A5"/>
    <w:rsid w:val="00EE6934"/>
    <w:rsid w:val="00F13023"/>
    <w:rsid w:val="00F257EF"/>
    <w:rsid w:val="00F44412"/>
    <w:rsid w:val="00F4482D"/>
    <w:rsid w:val="00F6420A"/>
    <w:rsid w:val="00F71B42"/>
    <w:rsid w:val="00F7559B"/>
    <w:rsid w:val="00F8738B"/>
    <w:rsid w:val="00F87D53"/>
    <w:rsid w:val="00FB494B"/>
    <w:rsid w:val="00FF16E9"/>
    <w:rsid w:val="00FF6A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EB01E"/>
  <w15:docId w15:val="{09256FB5-6ADD-5A46-8ABE-6ADD0EA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pl-PL" w:eastAsia="pl-PL"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pPr>
      <w:keepNext/>
      <w:keepLines/>
      <w:spacing w:before="480" w:after="120"/>
      <w:contextualSpacing/>
      <w:outlineLvl w:val="0"/>
    </w:pPr>
    <w:rPr>
      <w:b/>
      <w:sz w:val="48"/>
      <w:szCs w:val="48"/>
    </w:rPr>
  </w:style>
  <w:style w:type="paragraph" w:styleId="Nagwek2">
    <w:name w:val="heading 2"/>
    <w:basedOn w:val="Normalny1"/>
    <w:next w:val="Normalny1"/>
    <w:pPr>
      <w:keepNext/>
      <w:keepLines/>
      <w:spacing w:before="360" w:after="80"/>
      <w:contextualSpacing/>
      <w:outlineLvl w:val="1"/>
    </w:pPr>
    <w:rPr>
      <w:b/>
      <w:sz w:val="36"/>
      <w:szCs w:val="36"/>
    </w:rPr>
  </w:style>
  <w:style w:type="paragraph" w:styleId="Nagwek3">
    <w:name w:val="heading 3"/>
    <w:basedOn w:val="Normalny1"/>
    <w:next w:val="Normalny1"/>
    <w:pPr>
      <w:keepNext/>
      <w:keepLines/>
      <w:spacing w:before="280" w:after="80"/>
      <w:contextualSpacing/>
      <w:outlineLvl w:val="2"/>
    </w:pPr>
    <w:rPr>
      <w:b/>
      <w:sz w:val="28"/>
      <w:szCs w:val="28"/>
    </w:rPr>
  </w:style>
  <w:style w:type="paragraph" w:styleId="Nagwek4">
    <w:name w:val="heading 4"/>
    <w:basedOn w:val="Normalny1"/>
    <w:next w:val="Normalny1"/>
    <w:pPr>
      <w:keepNext/>
      <w:keepLines/>
      <w:spacing w:before="240" w:after="40"/>
      <w:contextualSpacing/>
      <w:outlineLvl w:val="3"/>
    </w:pPr>
    <w:rPr>
      <w:b/>
      <w:sz w:val="24"/>
      <w:szCs w:val="24"/>
    </w:rPr>
  </w:style>
  <w:style w:type="paragraph" w:styleId="Nagwek5">
    <w:name w:val="heading 5"/>
    <w:basedOn w:val="Normalny1"/>
    <w:next w:val="Normalny1"/>
    <w:pPr>
      <w:keepNext/>
      <w:keepLines/>
      <w:spacing w:before="220" w:after="40"/>
      <w:contextualSpacing/>
      <w:outlineLvl w:val="4"/>
    </w:pPr>
    <w:rPr>
      <w:b/>
    </w:rPr>
  </w:style>
  <w:style w:type="paragraph" w:styleId="Nagwek6">
    <w:name w:val="heading 6"/>
    <w:basedOn w:val="Normalny1"/>
    <w:next w:val="Normalny1"/>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before="480" w:after="120"/>
      <w:contextualSpacing/>
    </w:pPr>
    <w:rPr>
      <w:b/>
      <w:sz w:val="72"/>
      <w:szCs w:val="72"/>
    </w:rPr>
  </w:style>
  <w:style w:type="paragraph" w:styleId="Podtytu">
    <w:name w:val="Subtitle"/>
    <w:basedOn w:val="Normalny1"/>
    <w:next w:val="Normalny1"/>
    <w:pPr>
      <w:keepNext/>
      <w:keepLines/>
      <w:spacing w:before="360" w:after="80"/>
      <w:contextualSpacing/>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sz w:val="24"/>
      <w:szCs w:val="24"/>
    </w:rPr>
  </w:style>
  <w:style w:type="character" w:styleId="Odwoaniedokomentarza">
    <w:name w:val="annotation reference"/>
    <w:basedOn w:val="Domylnaczcionkaakapitu"/>
    <w:uiPriority w:val="99"/>
    <w:semiHidden/>
    <w:unhideWhenUsed/>
    <w:rPr>
      <w:sz w:val="18"/>
      <w:szCs w:val="18"/>
    </w:rPr>
  </w:style>
  <w:style w:type="paragraph" w:styleId="Tekstdymka">
    <w:name w:val="Balloon Text"/>
    <w:basedOn w:val="Normalny"/>
    <w:link w:val="TekstdymkaZnak"/>
    <w:uiPriority w:val="99"/>
    <w:semiHidden/>
    <w:unhideWhenUsed/>
    <w:rsid w:val="00495A9D"/>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495A9D"/>
    <w:rPr>
      <w:rFonts w:ascii="Lucida Grande CE" w:hAnsi="Lucida Grande CE"/>
      <w:sz w:val="18"/>
      <w:szCs w:val="18"/>
    </w:rPr>
  </w:style>
  <w:style w:type="paragraph" w:styleId="Tematkomentarza">
    <w:name w:val="annotation subject"/>
    <w:basedOn w:val="Tekstkomentarza"/>
    <w:next w:val="Tekstkomentarza"/>
    <w:link w:val="TematkomentarzaZnak"/>
    <w:uiPriority w:val="99"/>
    <w:semiHidden/>
    <w:unhideWhenUsed/>
    <w:rsid w:val="00584929"/>
    <w:rPr>
      <w:b/>
      <w:bCs/>
      <w:sz w:val="20"/>
      <w:szCs w:val="20"/>
    </w:rPr>
  </w:style>
  <w:style w:type="character" w:customStyle="1" w:styleId="TematkomentarzaZnak">
    <w:name w:val="Temat komentarza Znak"/>
    <w:basedOn w:val="TekstkomentarzaZnak"/>
    <w:link w:val="Tematkomentarza"/>
    <w:uiPriority w:val="99"/>
    <w:semiHidden/>
    <w:rsid w:val="00584929"/>
    <w:rPr>
      <w:b/>
      <w:bCs/>
      <w:sz w:val="20"/>
      <w:szCs w:val="20"/>
    </w:rPr>
  </w:style>
  <w:style w:type="paragraph" w:styleId="Poprawka">
    <w:name w:val="Revision"/>
    <w:hidden/>
    <w:uiPriority w:val="99"/>
    <w:semiHidden/>
    <w:rsid w:val="00186E0F"/>
    <w:pPr>
      <w:widowControl/>
      <w:spacing w:after="0" w:line="240" w:lineRule="auto"/>
    </w:pPr>
  </w:style>
  <w:style w:type="paragraph" w:styleId="Akapitzlist">
    <w:name w:val="List Paragraph"/>
    <w:basedOn w:val="Normalny"/>
    <w:uiPriority w:val="34"/>
    <w:qFormat/>
    <w:rsid w:val="000D725E"/>
    <w:pPr>
      <w:widowControl/>
      <w:spacing w:after="200" w:line="276" w:lineRule="auto"/>
      <w:ind w:left="720"/>
      <w:contextualSpacing/>
    </w:pPr>
    <w:rPr>
      <w:rFonts w:asciiTheme="minorHAnsi" w:eastAsiaTheme="minorHAnsi" w:hAnsiTheme="minorHAnsi" w:cstheme="minorBidi"/>
      <w:color w:val="auto"/>
      <w:lang w:eastAsia="en-US"/>
    </w:rPr>
  </w:style>
  <w:style w:type="paragraph" w:styleId="Tekstprzypisudolnego">
    <w:name w:val="footnote text"/>
    <w:basedOn w:val="Normalny"/>
    <w:link w:val="TekstprzypisudolnegoZnak"/>
    <w:uiPriority w:val="99"/>
    <w:unhideWhenUsed/>
    <w:rsid w:val="00586397"/>
    <w:pPr>
      <w:widowControl/>
      <w:spacing w:after="0" w:line="240" w:lineRule="auto"/>
    </w:pPr>
    <w:rPr>
      <w:rFonts w:asciiTheme="minorHAnsi" w:eastAsiaTheme="minorHAnsi" w:hAnsiTheme="minorHAnsi" w:cstheme="minorBidi"/>
      <w:color w:val="auto"/>
      <w:sz w:val="24"/>
      <w:szCs w:val="24"/>
      <w:lang w:eastAsia="en-US"/>
    </w:rPr>
  </w:style>
  <w:style w:type="character" w:customStyle="1" w:styleId="TekstprzypisudolnegoZnak">
    <w:name w:val="Tekst przypisu dolnego Znak"/>
    <w:basedOn w:val="Domylnaczcionkaakapitu"/>
    <w:link w:val="Tekstprzypisudolnego"/>
    <w:uiPriority w:val="99"/>
    <w:rsid w:val="00586397"/>
    <w:rPr>
      <w:rFonts w:asciiTheme="minorHAnsi" w:eastAsiaTheme="minorHAnsi" w:hAnsiTheme="minorHAnsi" w:cstheme="minorBidi"/>
      <w:color w:val="auto"/>
      <w:sz w:val="24"/>
      <w:szCs w:val="24"/>
      <w:lang w:eastAsia="en-US"/>
    </w:rPr>
  </w:style>
  <w:style w:type="character" w:styleId="Odwoanieprzypisudolnego">
    <w:name w:val="footnote reference"/>
    <w:basedOn w:val="Domylnaczcionkaakapitu"/>
    <w:uiPriority w:val="99"/>
    <w:unhideWhenUsed/>
    <w:rsid w:val="00586397"/>
    <w:rPr>
      <w:vertAlign w:val="superscript"/>
    </w:rPr>
  </w:style>
  <w:style w:type="paragraph" w:styleId="Nagwek">
    <w:name w:val="header"/>
    <w:basedOn w:val="Normalny"/>
    <w:link w:val="NagwekZnak"/>
    <w:uiPriority w:val="99"/>
    <w:unhideWhenUsed/>
    <w:rsid w:val="004F27D9"/>
    <w:pPr>
      <w:widowControl/>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4F27D9"/>
    <w:rPr>
      <w:rFonts w:asciiTheme="minorHAnsi" w:eastAsiaTheme="minorHAnsi" w:hAnsiTheme="minorHAnsi" w:cstheme="minorBidi"/>
      <w:color w:val="auto"/>
      <w:lang w:eastAsia="en-US"/>
    </w:rPr>
  </w:style>
  <w:style w:type="paragraph" w:styleId="NormalnyWeb">
    <w:name w:val="Normal (Web)"/>
    <w:basedOn w:val="Normalny"/>
    <w:uiPriority w:val="99"/>
    <w:unhideWhenUsed/>
    <w:rsid w:val="00D14B70"/>
    <w:pPr>
      <w:widowControl/>
      <w:spacing w:before="100" w:beforeAutospacing="1" w:after="100" w:afterAutospacing="1" w:line="240" w:lineRule="auto"/>
    </w:pPr>
    <w:rPr>
      <w:rFonts w:ascii="Times" w:eastAsiaTheme="minorEastAsia" w:hAnsi="Times" w:cs="Times New Roman"/>
      <w:color w:val="auto"/>
      <w:sz w:val="20"/>
      <w:szCs w:val="20"/>
    </w:rPr>
  </w:style>
  <w:style w:type="paragraph" w:styleId="Legenda">
    <w:name w:val="caption"/>
    <w:basedOn w:val="Normalny"/>
    <w:next w:val="Normalny"/>
    <w:uiPriority w:val="35"/>
    <w:unhideWhenUsed/>
    <w:qFormat/>
    <w:rsid w:val="00BB5725"/>
    <w:pPr>
      <w:widowControl/>
      <w:spacing w:after="200" w:line="240" w:lineRule="auto"/>
    </w:pPr>
    <w:rPr>
      <w:rFonts w:asciiTheme="minorHAnsi" w:eastAsiaTheme="minorEastAsia" w:hAnsiTheme="minorHAnsi" w:cstheme="minorBidi"/>
      <w:b/>
      <w:bCs/>
      <w:color w:val="4F81BD" w:themeColor="accent1"/>
      <w:sz w:val="18"/>
      <w:szCs w:val="18"/>
    </w:rPr>
  </w:style>
  <w:style w:type="paragraph" w:styleId="Stopka">
    <w:name w:val="footer"/>
    <w:basedOn w:val="Normalny"/>
    <w:link w:val="StopkaZnak"/>
    <w:uiPriority w:val="99"/>
    <w:unhideWhenUsed/>
    <w:rsid w:val="00D8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514">
      <w:bodyDiv w:val="1"/>
      <w:marLeft w:val="0"/>
      <w:marRight w:val="0"/>
      <w:marTop w:val="0"/>
      <w:marBottom w:val="0"/>
      <w:divBdr>
        <w:top w:val="none" w:sz="0" w:space="0" w:color="auto"/>
        <w:left w:val="none" w:sz="0" w:space="0" w:color="auto"/>
        <w:bottom w:val="none" w:sz="0" w:space="0" w:color="auto"/>
        <w:right w:val="none" w:sz="0" w:space="0" w:color="auto"/>
      </w:divBdr>
    </w:div>
    <w:div w:id="101345743">
      <w:bodyDiv w:val="1"/>
      <w:marLeft w:val="0"/>
      <w:marRight w:val="0"/>
      <w:marTop w:val="0"/>
      <w:marBottom w:val="0"/>
      <w:divBdr>
        <w:top w:val="none" w:sz="0" w:space="0" w:color="auto"/>
        <w:left w:val="none" w:sz="0" w:space="0" w:color="auto"/>
        <w:bottom w:val="none" w:sz="0" w:space="0" w:color="auto"/>
        <w:right w:val="none" w:sz="0" w:space="0" w:color="auto"/>
      </w:divBdr>
    </w:div>
    <w:div w:id="215706965">
      <w:bodyDiv w:val="1"/>
      <w:marLeft w:val="0"/>
      <w:marRight w:val="0"/>
      <w:marTop w:val="0"/>
      <w:marBottom w:val="0"/>
      <w:divBdr>
        <w:top w:val="none" w:sz="0" w:space="0" w:color="auto"/>
        <w:left w:val="none" w:sz="0" w:space="0" w:color="auto"/>
        <w:bottom w:val="none" w:sz="0" w:space="0" w:color="auto"/>
        <w:right w:val="none" w:sz="0" w:space="0" w:color="auto"/>
      </w:divBdr>
    </w:div>
    <w:div w:id="503126235">
      <w:bodyDiv w:val="1"/>
      <w:marLeft w:val="0"/>
      <w:marRight w:val="0"/>
      <w:marTop w:val="0"/>
      <w:marBottom w:val="0"/>
      <w:divBdr>
        <w:top w:val="none" w:sz="0" w:space="0" w:color="auto"/>
        <w:left w:val="none" w:sz="0" w:space="0" w:color="auto"/>
        <w:bottom w:val="none" w:sz="0" w:space="0" w:color="auto"/>
        <w:right w:val="none" w:sz="0" w:space="0" w:color="auto"/>
      </w:divBdr>
    </w:div>
    <w:div w:id="536627313">
      <w:bodyDiv w:val="1"/>
      <w:marLeft w:val="0"/>
      <w:marRight w:val="0"/>
      <w:marTop w:val="0"/>
      <w:marBottom w:val="0"/>
      <w:divBdr>
        <w:top w:val="none" w:sz="0" w:space="0" w:color="auto"/>
        <w:left w:val="none" w:sz="0" w:space="0" w:color="auto"/>
        <w:bottom w:val="none" w:sz="0" w:space="0" w:color="auto"/>
        <w:right w:val="none" w:sz="0" w:space="0" w:color="auto"/>
      </w:divBdr>
    </w:div>
    <w:div w:id="585921460">
      <w:bodyDiv w:val="1"/>
      <w:marLeft w:val="0"/>
      <w:marRight w:val="0"/>
      <w:marTop w:val="0"/>
      <w:marBottom w:val="0"/>
      <w:divBdr>
        <w:top w:val="none" w:sz="0" w:space="0" w:color="auto"/>
        <w:left w:val="none" w:sz="0" w:space="0" w:color="auto"/>
        <w:bottom w:val="none" w:sz="0" w:space="0" w:color="auto"/>
        <w:right w:val="none" w:sz="0" w:space="0" w:color="auto"/>
      </w:divBdr>
    </w:div>
    <w:div w:id="587933407">
      <w:bodyDiv w:val="1"/>
      <w:marLeft w:val="0"/>
      <w:marRight w:val="0"/>
      <w:marTop w:val="0"/>
      <w:marBottom w:val="0"/>
      <w:divBdr>
        <w:top w:val="none" w:sz="0" w:space="0" w:color="auto"/>
        <w:left w:val="none" w:sz="0" w:space="0" w:color="auto"/>
        <w:bottom w:val="none" w:sz="0" w:space="0" w:color="auto"/>
        <w:right w:val="none" w:sz="0" w:space="0" w:color="auto"/>
      </w:divBdr>
    </w:div>
    <w:div w:id="724794908">
      <w:bodyDiv w:val="1"/>
      <w:marLeft w:val="0"/>
      <w:marRight w:val="0"/>
      <w:marTop w:val="0"/>
      <w:marBottom w:val="0"/>
      <w:divBdr>
        <w:top w:val="none" w:sz="0" w:space="0" w:color="auto"/>
        <w:left w:val="none" w:sz="0" w:space="0" w:color="auto"/>
        <w:bottom w:val="none" w:sz="0" w:space="0" w:color="auto"/>
        <w:right w:val="none" w:sz="0" w:space="0" w:color="auto"/>
      </w:divBdr>
    </w:div>
    <w:div w:id="818158343">
      <w:bodyDiv w:val="1"/>
      <w:marLeft w:val="0"/>
      <w:marRight w:val="0"/>
      <w:marTop w:val="0"/>
      <w:marBottom w:val="0"/>
      <w:divBdr>
        <w:top w:val="none" w:sz="0" w:space="0" w:color="auto"/>
        <w:left w:val="none" w:sz="0" w:space="0" w:color="auto"/>
        <w:bottom w:val="none" w:sz="0" w:space="0" w:color="auto"/>
        <w:right w:val="none" w:sz="0" w:space="0" w:color="auto"/>
      </w:divBdr>
    </w:div>
    <w:div w:id="1066101973">
      <w:bodyDiv w:val="1"/>
      <w:marLeft w:val="0"/>
      <w:marRight w:val="0"/>
      <w:marTop w:val="0"/>
      <w:marBottom w:val="0"/>
      <w:divBdr>
        <w:top w:val="none" w:sz="0" w:space="0" w:color="auto"/>
        <w:left w:val="none" w:sz="0" w:space="0" w:color="auto"/>
        <w:bottom w:val="none" w:sz="0" w:space="0" w:color="auto"/>
        <w:right w:val="none" w:sz="0" w:space="0" w:color="auto"/>
      </w:divBdr>
    </w:div>
    <w:div w:id="1101686547">
      <w:bodyDiv w:val="1"/>
      <w:marLeft w:val="0"/>
      <w:marRight w:val="0"/>
      <w:marTop w:val="0"/>
      <w:marBottom w:val="0"/>
      <w:divBdr>
        <w:top w:val="none" w:sz="0" w:space="0" w:color="auto"/>
        <w:left w:val="none" w:sz="0" w:space="0" w:color="auto"/>
        <w:bottom w:val="none" w:sz="0" w:space="0" w:color="auto"/>
        <w:right w:val="none" w:sz="0" w:space="0" w:color="auto"/>
      </w:divBdr>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
    <w:div w:id="1396660967">
      <w:bodyDiv w:val="1"/>
      <w:marLeft w:val="0"/>
      <w:marRight w:val="0"/>
      <w:marTop w:val="0"/>
      <w:marBottom w:val="0"/>
      <w:divBdr>
        <w:top w:val="none" w:sz="0" w:space="0" w:color="auto"/>
        <w:left w:val="none" w:sz="0" w:space="0" w:color="auto"/>
        <w:bottom w:val="none" w:sz="0" w:space="0" w:color="auto"/>
        <w:right w:val="none" w:sz="0" w:space="0" w:color="auto"/>
      </w:divBdr>
    </w:div>
    <w:div w:id="1400134680">
      <w:bodyDiv w:val="1"/>
      <w:marLeft w:val="0"/>
      <w:marRight w:val="0"/>
      <w:marTop w:val="0"/>
      <w:marBottom w:val="0"/>
      <w:divBdr>
        <w:top w:val="none" w:sz="0" w:space="0" w:color="auto"/>
        <w:left w:val="none" w:sz="0" w:space="0" w:color="auto"/>
        <w:bottom w:val="none" w:sz="0" w:space="0" w:color="auto"/>
        <w:right w:val="none" w:sz="0" w:space="0" w:color="auto"/>
      </w:divBdr>
    </w:div>
    <w:div w:id="1441488916">
      <w:bodyDiv w:val="1"/>
      <w:marLeft w:val="0"/>
      <w:marRight w:val="0"/>
      <w:marTop w:val="0"/>
      <w:marBottom w:val="0"/>
      <w:divBdr>
        <w:top w:val="none" w:sz="0" w:space="0" w:color="auto"/>
        <w:left w:val="none" w:sz="0" w:space="0" w:color="auto"/>
        <w:bottom w:val="none" w:sz="0" w:space="0" w:color="auto"/>
        <w:right w:val="none" w:sz="0" w:space="0" w:color="auto"/>
      </w:divBdr>
    </w:div>
    <w:div w:id="1453398262">
      <w:bodyDiv w:val="1"/>
      <w:marLeft w:val="0"/>
      <w:marRight w:val="0"/>
      <w:marTop w:val="0"/>
      <w:marBottom w:val="0"/>
      <w:divBdr>
        <w:top w:val="none" w:sz="0" w:space="0" w:color="auto"/>
        <w:left w:val="none" w:sz="0" w:space="0" w:color="auto"/>
        <w:bottom w:val="none" w:sz="0" w:space="0" w:color="auto"/>
        <w:right w:val="none" w:sz="0" w:space="0" w:color="auto"/>
      </w:divBdr>
    </w:div>
    <w:div w:id="1610358082">
      <w:bodyDiv w:val="1"/>
      <w:marLeft w:val="0"/>
      <w:marRight w:val="0"/>
      <w:marTop w:val="0"/>
      <w:marBottom w:val="0"/>
      <w:divBdr>
        <w:top w:val="none" w:sz="0" w:space="0" w:color="auto"/>
        <w:left w:val="none" w:sz="0" w:space="0" w:color="auto"/>
        <w:bottom w:val="none" w:sz="0" w:space="0" w:color="auto"/>
        <w:right w:val="none" w:sz="0" w:space="0" w:color="auto"/>
      </w:divBdr>
    </w:div>
    <w:div w:id="1767649916">
      <w:bodyDiv w:val="1"/>
      <w:marLeft w:val="0"/>
      <w:marRight w:val="0"/>
      <w:marTop w:val="0"/>
      <w:marBottom w:val="0"/>
      <w:divBdr>
        <w:top w:val="none" w:sz="0" w:space="0" w:color="auto"/>
        <w:left w:val="none" w:sz="0" w:space="0" w:color="auto"/>
        <w:bottom w:val="none" w:sz="0" w:space="0" w:color="auto"/>
        <w:right w:val="none" w:sz="0" w:space="0" w:color="auto"/>
      </w:divBdr>
    </w:div>
    <w:div w:id="2097558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g-polsk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kandi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5024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Ksiazek, Agnieszka</dc:creator>
  <cp:lastModifiedBy>Natalia Wykrota</cp:lastModifiedBy>
  <cp:revision>5</cp:revision>
  <dcterms:created xsi:type="dcterms:W3CDTF">2020-06-01T12:28:00Z</dcterms:created>
  <dcterms:modified xsi:type="dcterms:W3CDTF">2020-06-01T12:48:00Z</dcterms:modified>
</cp:coreProperties>
</file>